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enett"/>
        <w:tblW w:w="940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374"/>
        <w:gridCol w:w="4034"/>
      </w:tblGrid>
      <w:tr w:rsidR="00DD4BA6">
        <w:trPr>
          <w:trHeight w:hRule="exact" w:val="477"/>
        </w:trPr>
        <w:tc>
          <w:tcPr>
            <w:tcW w:w="5374" w:type="dxa"/>
          </w:tcPr>
          <w:p w:rsidR="003A23AB" w:rsidRDefault="009A6E46" w:rsidP="00D13C46"/>
        </w:tc>
        <w:tc>
          <w:tcPr>
            <w:tcW w:w="4034" w:type="dxa"/>
          </w:tcPr>
          <w:p w:rsidR="00D44A28" w:rsidRPr="00D44A28" w:rsidRDefault="009A6E46" w:rsidP="00EB08ED">
            <w:pPr>
              <w:jc w:val="right"/>
              <w:rPr>
                <w:b/>
              </w:rPr>
            </w:pPr>
            <w:bookmarkStart w:id="0" w:name="UoffParagraf"/>
            <w:bookmarkEnd w:id="0"/>
          </w:p>
        </w:tc>
      </w:tr>
    </w:tbl>
    <w:p w:rsidR="003D160E" w:rsidRPr="000E542B" w:rsidRDefault="009E0E51" w:rsidP="000E542B">
      <w:pPr>
        <w:jc w:val="right"/>
        <w:rPr>
          <w:rFonts w:ascii="Arial" w:hAnsi="Arial" w:cs="Arial"/>
          <w:b/>
          <w:sz w:val="28"/>
          <w:szCs w:val="28"/>
        </w:rPr>
      </w:pPr>
      <w:r>
        <w:rPr>
          <w:rFonts w:ascii="Arial" w:hAnsi="Arial" w:cs="Arial"/>
          <w:b/>
          <w:sz w:val="28"/>
          <w:szCs w:val="28"/>
        </w:rPr>
        <w:t>Notat</w:t>
      </w:r>
    </w:p>
    <w:p w:rsidR="009561A9" w:rsidRDefault="009A6E46" w:rsidP="00231A4D"/>
    <w:tbl>
      <w:tblPr>
        <w:tblW w:w="0" w:type="auto"/>
        <w:tblInd w:w="108" w:type="dxa"/>
        <w:tblBorders>
          <w:top w:val="single" w:sz="4" w:space="0" w:color="auto"/>
          <w:insideH w:val="single" w:sz="4" w:space="0" w:color="auto"/>
        </w:tblBorders>
        <w:tblCellMar>
          <w:left w:w="102" w:type="dxa"/>
          <w:right w:w="102" w:type="dxa"/>
        </w:tblCellMar>
        <w:tblLook w:val="0000" w:firstRow="0" w:lastRow="0" w:firstColumn="0" w:lastColumn="0" w:noHBand="0" w:noVBand="0"/>
      </w:tblPr>
      <w:tblGrid>
        <w:gridCol w:w="1181"/>
        <w:gridCol w:w="8093"/>
      </w:tblGrid>
      <w:tr w:rsidR="00DD4BA6">
        <w:trPr>
          <w:cantSplit/>
        </w:trPr>
        <w:tc>
          <w:tcPr>
            <w:tcW w:w="1220" w:type="dxa"/>
            <w:tcBorders>
              <w:top w:val="single" w:sz="4" w:space="0" w:color="auto"/>
              <w:left w:val="nil"/>
              <w:bottom w:val="single" w:sz="4" w:space="0" w:color="auto"/>
              <w:right w:val="nil"/>
            </w:tcBorders>
          </w:tcPr>
          <w:p w:rsidR="00FF23F0" w:rsidRPr="00FF23F0" w:rsidRDefault="009E0E51" w:rsidP="00443E01">
            <w:pPr>
              <w:pStyle w:val="Topptekst"/>
              <w:spacing w:before="60"/>
              <w:rPr>
                <w:b/>
                <w:bCs/>
              </w:rPr>
            </w:pPr>
            <w:r w:rsidRPr="00FF23F0">
              <w:rPr>
                <w:b/>
                <w:bCs/>
              </w:rPr>
              <w:t>Til:</w:t>
            </w:r>
          </w:p>
        </w:tc>
        <w:tc>
          <w:tcPr>
            <w:tcW w:w="8494" w:type="dxa"/>
            <w:tcBorders>
              <w:top w:val="single" w:sz="4" w:space="0" w:color="auto"/>
              <w:left w:val="nil"/>
              <w:bottom w:val="single" w:sz="4" w:space="0" w:color="auto"/>
              <w:right w:val="nil"/>
            </w:tcBorders>
          </w:tcPr>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889"/>
            </w:tblGrid>
            <w:tr w:rsidR="00DD4BA6">
              <w:tc>
                <w:tcPr>
                  <w:tcW w:w="8275" w:type="dxa"/>
                </w:tcPr>
                <w:p w:rsidR="00FF23F0" w:rsidRDefault="009A6E46" w:rsidP="00443E01">
                  <w:pPr>
                    <w:spacing w:before="60" w:after="60"/>
                    <w:ind w:left="34" w:right="85"/>
                    <w:rPr>
                      <w:rFonts w:ascii="Times" w:hAnsi="Times"/>
                      <w:lang w:val="en-GB" w:eastAsia="en-US"/>
                    </w:rPr>
                  </w:pPr>
                  <w:bookmarkStart w:id="1" w:name="InterneMottakereTabell_Liste"/>
                  <w:bookmarkEnd w:id="1"/>
                </w:p>
              </w:tc>
            </w:tr>
          </w:tbl>
          <w:p w:rsidR="00FF23F0" w:rsidRDefault="009A6E46" w:rsidP="00443E01">
            <w:pPr>
              <w:pStyle w:val="InnkallingsskriftFyllInn"/>
              <w:pBdr>
                <w:top w:val="none" w:sz="0" w:space="0" w:color="auto"/>
              </w:pBdr>
            </w:pPr>
          </w:p>
        </w:tc>
      </w:tr>
      <w:tr w:rsidR="00DD4BA6">
        <w:trPr>
          <w:cantSplit/>
        </w:trPr>
        <w:tc>
          <w:tcPr>
            <w:tcW w:w="1220" w:type="dxa"/>
            <w:tcBorders>
              <w:top w:val="single" w:sz="4" w:space="0" w:color="auto"/>
              <w:left w:val="nil"/>
              <w:bottom w:val="single" w:sz="4" w:space="0" w:color="auto"/>
              <w:right w:val="nil"/>
            </w:tcBorders>
          </w:tcPr>
          <w:p w:rsidR="00FF23F0" w:rsidRPr="00FF23F0" w:rsidRDefault="009E0E51" w:rsidP="00443E01">
            <w:pPr>
              <w:pStyle w:val="Topptekst"/>
              <w:spacing w:before="60"/>
              <w:rPr>
                <w:b/>
                <w:bCs/>
              </w:rPr>
            </w:pPr>
            <w:r w:rsidRPr="00FF23F0">
              <w:rPr>
                <w:b/>
                <w:bCs/>
              </w:rPr>
              <w:t>Fra:</w:t>
            </w:r>
          </w:p>
        </w:tc>
        <w:tc>
          <w:tcPr>
            <w:tcW w:w="8494" w:type="dxa"/>
            <w:tcBorders>
              <w:top w:val="single" w:sz="4" w:space="0" w:color="auto"/>
              <w:left w:val="nil"/>
              <w:bottom w:val="single" w:sz="4" w:space="0" w:color="auto"/>
              <w:right w:val="nil"/>
            </w:tcBorders>
          </w:tcPr>
          <w:tbl>
            <w:tblPr>
              <w:tblStyle w:val="Tabellrutenett"/>
              <w:tblW w:w="0" w:type="auto"/>
              <w:tblLook w:val="01E0" w:firstRow="1" w:lastRow="1" w:firstColumn="1" w:lastColumn="1" w:noHBand="0" w:noVBand="0"/>
            </w:tblPr>
            <w:tblGrid>
              <w:gridCol w:w="7889"/>
            </w:tblGrid>
            <w:tr w:rsidR="00DD4BA6">
              <w:tc>
                <w:tcPr>
                  <w:tcW w:w="8275" w:type="dxa"/>
                  <w:tcBorders>
                    <w:top w:val="nil"/>
                    <w:left w:val="nil"/>
                    <w:bottom w:val="nil"/>
                    <w:right w:val="nil"/>
                  </w:tcBorders>
                </w:tcPr>
                <w:p w:rsidR="00FF23F0" w:rsidRDefault="009E0E51" w:rsidP="00443E01">
                  <w:pPr>
                    <w:spacing w:before="60" w:after="60"/>
                    <w:ind w:left="34" w:right="85"/>
                    <w:rPr>
                      <w:rFonts w:ascii="Times" w:hAnsi="Times"/>
                      <w:lang w:val="en-US" w:eastAsia="en-US"/>
                    </w:rPr>
                  </w:pPr>
                  <w:bookmarkStart w:id="2" w:name="SaksbehandlerNavn"/>
                  <w:r>
                    <w:rPr>
                      <w:rFonts w:ascii="Times" w:hAnsi="Times"/>
                      <w:lang w:val="en-US" w:eastAsia="en-US"/>
                    </w:rPr>
                    <w:t>Frode Tjønn</w:t>
                  </w:r>
                  <w:bookmarkEnd w:id="2"/>
                </w:p>
              </w:tc>
            </w:tr>
          </w:tbl>
          <w:p w:rsidR="00FF23F0" w:rsidRDefault="009A6E46" w:rsidP="00443E01">
            <w:pPr>
              <w:spacing w:after="60"/>
              <w:ind w:left="34" w:right="85"/>
              <w:rPr>
                <w:rFonts w:ascii="Times" w:hAnsi="Times"/>
                <w:lang w:val="en-US" w:eastAsia="en-US"/>
              </w:rPr>
            </w:pPr>
          </w:p>
        </w:tc>
      </w:tr>
    </w:tbl>
    <w:p w:rsidR="00FF23F0" w:rsidRDefault="009A6E46" w:rsidP="00231A4D"/>
    <w:p w:rsidR="00FF23F0" w:rsidRDefault="009A6E46" w:rsidP="00231A4D"/>
    <w:tbl>
      <w:tblPr>
        <w:tblStyle w:val="Tabellrutenett"/>
        <w:tblW w:w="939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8021"/>
        <w:gridCol w:w="1378"/>
      </w:tblGrid>
      <w:tr w:rsidR="00DD4BA6">
        <w:trPr>
          <w:trHeight w:hRule="exact" w:val="198"/>
        </w:trPr>
        <w:tc>
          <w:tcPr>
            <w:tcW w:w="8021" w:type="dxa"/>
          </w:tcPr>
          <w:p w:rsidR="00EA109B" w:rsidRPr="005E1701" w:rsidRDefault="009E0E51" w:rsidP="0073796F">
            <w:pPr>
              <w:pStyle w:val="Topptekst"/>
              <w:rPr>
                <w:b/>
              </w:rPr>
            </w:pPr>
            <w:r>
              <w:rPr>
                <w:b/>
              </w:rPr>
              <w:t>Referanse</w:t>
            </w:r>
          </w:p>
        </w:tc>
        <w:tc>
          <w:tcPr>
            <w:tcW w:w="1378" w:type="dxa"/>
          </w:tcPr>
          <w:p w:rsidR="00EA109B" w:rsidRPr="005E1701" w:rsidRDefault="009E0E51" w:rsidP="0073796F">
            <w:pPr>
              <w:pStyle w:val="Topptekst"/>
              <w:rPr>
                <w:b/>
              </w:rPr>
            </w:pPr>
            <w:r w:rsidRPr="005E1701">
              <w:rPr>
                <w:b/>
              </w:rPr>
              <w:t>Dato</w:t>
            </w:r>
          </w:p>
        </w:tc>
      </w:tr>
      <w:tr w:rsidR="00DD4BA6">
        <w:trPr>
          <w:trHeight w:val="349"/>
        </w:trPr>
        <w:tc>
          <w:tcPr>
            <w:tcW w:w="8021" w:type="dxa"/>
          </w:tcPr>
          <w:p w:rsidR="00EA109B" w:rsidRPr="00E80A77" w:rsidRDefault="009E0E51" w:rsidP="0073796F">
            <w:pPr>
              <w:pStyle w:val="Topptekst"/>
              <w:rPr>
                <w:sz w:val="24"/>
              </w:rPr>
            </w:pPr>
            <w:bookmarkStart w:id="3" w:name="Saksnr"/>
            <w:r w:rsidRPr="00E80A77">
              <w:rPr>
                <w:sz w:val="24"/>
              </w:rPr>
              <w:t>2017/2342</w:t>
            </w:r>
            <w:bookmarkEnd w:id="3"/>
          </w:p>
        </w:tc>
        <w:tc>
          <w:tcPr>
            <w:tcW w:w="1378" w:type="dxa"/>
          </w:tcPr>
          <w:p w:rsidR="00EA109B" w:rsidRPr="00E80A77" w:rsidRDefault="009E0E51" w:rsidP="0073796F">
            <w:pPr>
              <w:pStyle w:val="Topptekst"/>
              <w:rPr>
                <w:sz w:val="24"/>
              </w:rPr>
            </w:pPr>
            <w:bookmarkStart w:id="4" w:name="Ref"/>
            <w:bookmarkStart w:id="5" w:name="Brevdato"/>
            <w:bookmarkEnd w:id="4"/>
            <w:r w:rsidRPr="00E80A77">
              <w:rPr>
                <w:sz w:val="24"/>
              </w:rPr>
              <w:t>19.05.2017</w:t>
            </w:r>
            <w:bookmarkEnd w:id="5"/>
          </w:p>
        </w:tc>
      </w:tr>
    </w:tbl>
    <w:p w:rsidR="00EA109B" w:rsidRDefault="009A6E46" w:rsidP="00EA109B"/>
    <w:p w:rsidR="00EA109B" w:rsidRDefault="009A6E46" w:rsidP="00231A4D"/>
    <w:p w:rsidR="00231A4D" w:rsidRPr="0064468C" w:rsidRDefault="009E0E51" w:rsidP="00231A4D">
      <w:pPr>
        <w:pStyle w:val="Overskrift1"/>
        <w:rPr>
          <w:sz w:val="32"/>
          <w:szCs w:val="32"/>
        </w:rPr>
      </w:pPr>
      <w:bookmarkStart w:id="6" w:name="Tittel"/>
      <w:r w:rsidRPr="0064468C">
        <w:rPr>
          <w:sz w:val="32"/>
          <w:szCs w:val="32"/>
        </w:rPr>
        <w:t>Vedrørende rekreasjonsløype for snøskuteri Saltdal kommune</w:t>
      </w:r>
      <w:bookmarkEnd w:id="6"/>
    </w:p>
    <w:p w:rsidR="00231A4D" w:rsidRPr="00231A4D" w:rsidRDefault="009A6E46" w:rsidP="00231A4D"/>
    <w:p w:rsidR="00D66553" w:rsidRPr="00FD6282" w:rsidRDefault="00D66553" w:rsidP="00D66553">
      <w:pPr>
        <w:numPr>
          <w:ilvl w:val="0"/>
          <w:numId w:val="5"/>
        </w:numPr>
      </w:pPr>
      <w:bookmarkStart w:id="7" w:name="Start"/>
      <w:bookmarkEnd w:id="7"/>
      <w:r w:rsidRPr="00FD6282">
        <w:t xml:space="preserve">Det er opprettet to saker i E-phorte vedrørende </w:t>
      </w:r>
      <w:r>
        <w:t xml:space="preserve">varsel om oppstart og </w:t>
      </w:r>
      <w:r w:rsidRPr="00FD6282">
        <w:t xml:space="preserve">detaljplanlegging av traseene. </w:t>
      </w:r>
    </w:p>
    <w:p w:rsidR="00D66553" w:rsidRPr="00FD6282" w:rsidRDefault="00D66553" w:rsidP="00D66553">
      <w:pPr>
        <w:numPr>
          <w:ilvl w:val="0"/>
          <w:numId w:val="5"/>
        </w:numPr>
      </w:pPr>
      <w:r w:rsidRPr="00FD6282">
        <w:t xml:space="preserve">Meldt oppstart av planarbeidet </w:t>
      </w:r>
      <w:r>
        <w:t xml:space="preserve">(innspill til snøskuterløyper i Saltdal kommune) </w:t>
      </w:r>
      <w:r w:rsidRPr="00FD6282">
        <w:t xml:space="preserve">januar 2014 i Saltenposten. </w:t>
      </w:r>
      <w:r>
        <w:t xml:space="preserve"> Se vedlegg i saken.</w:t>
      </w:r>
    </w:p>
    <w:p w:rsidR="00D66553" w:rsidRPr="00FD6282" w:rsidRDefault="00D66553" w:rsidP="00D66553">
      <w:pPr>
        <w:numPr>
          <w:ilvl w:val="0"/>
          <w:numId w:val="5"/>
        </w:numPr>
      </w:pPr>
      <w:r w:rsidRPr="00FD6282">
        <w:t xml:space="preserve">Innspill om traseer som er ønskelige for rekreasjonskjøring. </w:t>
      </w:r>
      <w:r>
        <w:t>Alle innspill er vedlagt notatet.</w:t>
      </w:r>
      <w:r w:rsidRPr="00FD6282">
        <w:t xml:space="preserve"> </w:t>
      </w:r>
    </w:p>
    <w:p w:rsidR="00D66553" w:rsidRPr="00FD6282" w:rsidRDefault="00D66553" w:rsidP="00D66553">
      <w:pPr>
        <w:numPr>
          <w:ilvl w:val="0"/>
          <w:numId w:val="5"/>
        </w:numPr>
      </w:pPr>
      <w:r w:rsidRPr="00FD6282">
        <w:t>Ikke alle innspill er kommet fra grunneiere. Etter diverse samtaler med grunneiere der trase er foreslått er en kommet frem til at det ikke er mulig å etabler</w:t>
      </w:r>
      <w:r>
        <w:t>e</w:t>
      </w:r>
      <w:r w:rsidRPr="00FD6282">
        <w:t xml:space="preserve"> løypenett på privat grunn i Saltdal kommune</w:t>
      </w:r>
      <w:r>
        <w:t>, unntatt på Statskogs arealer</w:t>
      </w:r>
      <w:r w:rsidRPr="00FD6282">
        <w:t>:</w:t>
      </w:r>
    </w:p>
    <w:p w:rsidR="00D66553" w:rsidRPr="00FD6282" w:rsidRDefault="00D66553" w:rsidP="00D66553">
      <w:pPr>
        <w:numPr>
          <w:ilvl w:val="0"/>
          <w:numId w:val="5"/>
        </w:numPr>
      </w:pPr>
      <w:r w:rsidRPr="00FD6282">
        <w:t xml:space="preserve">For veiledning etablering av rekreasjonsløyper </w:t>
      </w:r>
      <w:hyperlink r:id="rId7" w:anchor="kart" w:history="1">
        <w:r w:rsidRPr="00FD6282">
          <w:rPr>
            <w:rStyle w:val="Hyperkobling"/>
          </w:rPr>
          <w:t>les her</w:t>
        </w:r>
      </w:hyperlink>
      <w:r w:rsidRPr="00FD6282">
        <w:t xml:space="preserve"> samt de vurderinger kommunen må gjøre i løpet av prosessen frem til endelig vedtak av løype med tilhørende forskrift, samt mye anen relevant informasjon. </w:t>
      </w:r>
      <w:r>
        <w:t xml:space="preserve">Se særskilt § 4a. i Motorferdselsloven med tilhørende </w:t>
      </w:r>
      <w:hyperlink r:id="rId8" w:history="1">
        <w:r w:rsidRPr="004979D9">
          <w:rPr>
            <w:rStyle w:val="Hyperkobling"/>
          </w:rPr>
          <w:t>merknader</w:t>
        </w:r>
      </w:hyperlink>
      <w:r>
        <w:t>.</w:t>
      </w:r>
    </w:p>
    <w:p w:rsidR="00D66553" w:rsidRDefault="00D66553" w:rsidP="00D66553"/>
    <w:p w:rsidR="00D66553" w:rsidRPr="00FD6282" w:rsidRDefault="00D66553" w:rsidP="00D66553"/>
    <w:p w:rsidR="00D66553" w:rsidRPr="00FD6282" w:rsidRDefault="00D66553" w:rsidP="00D66553">
      <w:pPr>
        <w:rPr>
          <w:u w:val="single"/>
        </w:rPr>
      </w:pPr>
      <w:r w:rsidRPr="00FD6282">
        <w:rPr>
          <w:b/>
          <w:u w:val="single"/>
        </w:rPr>
        <w:t xml:space="preserve">Sak 2013/1317. </w:t>
      </w:r>
      <w:r w:rsidR="00DB0CE9">
        <w:rPr>
          <w:b/>
          <w:u w:val="single"/>
        </w:rPr>
        <w:t xml:space="preserve">Forskrift om skuterløype </w:t>
      </w:r>
      <w:r w:rsidRPr="00FD6282">
        <w:rPr>
          <w:b/>
          <w:u w:val="single"/>
        </w:rPr>
        <w:t xml:space="preserve">Skaiti –Grensen. </w:t>
      </w:r>
    </w:p>
    <w:p w:rsidR="00D66553" w:rsidRPr="00FD6282" w:rsidRDefault="00D66553" w:rsidP="00D66553">
      <w:r>
        <w:t>G</w:t>
      </w:r>
      <w:r w:rsidRPr="00FD6282">
        <w:t>jennomg</w:t>
      </w:r>
      <w:r>
        <w:t xml:space="preserve">ått </w:t>
      </w:r>
      <w:r w:rsidRPr="00FD6282">
        <w:t>kunnskapsgrunnlag</w:t>
      </w:r>
      <w:r>
        <w:t xml:space="preserve"> for mulig trase. Sak er forberedt til Saltdal formannskap, men bør revideres.</w:t>
      </w:r>
      <w:r w:rsidRPr="00FD6282">
        <w:t xml:space="preserve">  </w:t>
      </w:r>
    </w:p>
    <w:p w:rsidR="00D66553" w:rsidRPr="00FD6282" w:rsidRDefault="00D66553" w:rsidP="00D66553"/>
    <w:p w:rsidR="00D66553" w:rsidRPr="00FD6282" w:rsidRDefault="00D66553" w:rsidP="00D66553">
      <w:r w:rsidRPr="00FD6282">
        <w:t>Det er viktig å påpeke at det i løpet av arbeidet har vært kontakt med Skaiti fjellcamp for lokalisering av parkeringsplasser.</w:t>
      </w:r>
    </w:p>
    <w:p w:rsidR="00D66553" w:rsidRPr="00FD6282" w:rsidRDefault="00D66553" w:rsidP="00D66553"/>
    <w:p w:rsidR="00D66553" w:rsidRPr="00FD6282" w:rsidRDefault="00D66553" w:rsidP="00D66553">
      <w:r w:rsidRPr="00FD6282">
        <w:t xml:space="preserve">Aktuell løype er kjørt opp og lagt inn på GPS. </w:t>
      </w:r>
      <w:r>
        <w:t xml:space="preserve"> Det er få alternative traseer for løype på denne strekningen. </w:t>
      </w:r>
    </w:p>
    <w:p w:rsidR="00D66553" w:rsidRPr="00FD6282" w:rsidRDefault="00D66553" w:rsidP="00D66553"/>
    <w:p w:rsidR="00D66553" w:rsidRPr="00FD6282" w:rsidRDefault="00D66553" w:rsidP="00D66553">
      <w:r w:rsidRPr="00FD6282">
        <w:t xml:space="preserve">Det gjennomføres konsekvensutredning for </w:t>
      </w:r>
      <w:hyperlink r:id="rId9" w:anchor="kart" w:history="1">
        <w:r w:rsidRPr="00FD6282">
          <w:rPr>
            <w:rStyle w:val="Hyperkobling"/>
          </w:rPr>
          <w:t>aktuelle temaene</w:t>
        </w:r>
      </w:hyperlink>
      <w:r w:rsidRPr="00FD6282">
        <w:t xml:space="preserve"> som vil bli berørt av løypen der den eventuelt lokaliseres.  </w:t>
      </w:r>
    </w:p>
    <w:p w:rsidR="00D66553" w:rsidRPr="00FD6282" w:rsidRDefault="00D66553" w:rsidP="00D66553"/>
    <w:p w:rsidR="00D66553" w:rsidRPr="00FD6282" w:rsidRDefault="00D66553" w:rsidP="00D66553">
      <w:pPr>
        <w:rPr>
          <w:b/>
        </w:rPr>
      </w:pPr>
      <w:r w:rsidRPr="00FD6282">
        <w:rPr>
          <w:b/>
        </w:rPr>
        <w:t>Prosess</w:t>
      </w:r>
      <w:r>
        <w:rPr>
          <w:b/>
        </w:rPr>
        <w:t>/innspill</w:t>
      </w:r>
      <w:r w:rsidRPr="00FD6282">
        <w:rPr>
          <w:b/>
        </w:rPr>
        <w:t xml:space="preserve"> hittil:</w:t>
      </w:r>
    </w:p>
    <w:p w:rsidR="00D66553" w:rsidRPr="00FD6282" w:rsidRDefault="00D66553" w:rsidP="00D66553">
      <w:pPr>
        <w:numPr>
          <w:ilvl w:val="0"/>
          <w:numId w:val="6"/>
        </w:numPr>
      </w:pPr>
      <w:r w:rsidRPr="00FD6282">
        <w:t>Møte med svenske reindriftsutøvere Semisjaur Sameby</w:t>
      </w:r>
    </w:p>
    <w:p w:rsidR="00D66553" w:rsidRPr="00FD6282" w:rsidRDefault="00D66553" w:rsidP="00D66553">
      <w:pPr>
        <w:numPr>
          <w:ilvl w:val="0"/>
          <w:numId w:val="6"/>
        </w:numPr>
      </w:pPr>
      <w:r w:rsidRPr="00FD6282">
        <w:t>Møte med Statens vegvesen</w:t>
      </w:r>
    </w:p>
    <w:p w:rsidR="00D66553" w:rsidRPr="00FD6282" w:rsidRDefault="00D66553" w:rsidP="00D66553">
      <w:pPr>
        <w:numPr>
          <w:ilvl w:val="0"/>
          <w:numId w:val="6"/>
        </w:numPr>
      </w:pPr>
      <w:r w:rsidRPr="00FD6282">
        <w:t>To befaringer trase</w:t>
      </w:r>
    </w:p>
    <w:p w:rsidR="00D66553" w:rsidRPr="00FD6282" w:rsidRDefault="00D66553" w:rsidP="00D66553">
      <w:pPr>
        <w:numPr>
          <w:ilvl w:val="0"/>
          <w:numId w:val="6"/>
        </w:numPr>
      </w:pPr>
      <w:r w:rsidRPr="00FD6282">
        <w:t>Brev fra Bodø og Omegn turistforening – nei til løype</w:t>
      </w:r>
    </w:p>
    <w:p w:rsidR="00D66553" w:rsidRPr="00FD6282" w:rsidRDefault="00D66553" w:rsidP="00D66553">
      <w:pPr>
        <w:numPr>
          <w:ilvl w:val="0"/>
          <w:numId w:val="6"/>
        </w:numPr>
      </w:pPr>
      <w:r w:rsidRPr="00FD6282">
        <w:t>Brev Elinor Winnberg og Kjell Gunnar Brenna. Grunneier Skaiti.</w:t>
      </w:r>
    </w:p>
    <w:p w:rsidR="00D66553" w:rsidRPr="00FD6282" w:rsidRDefault="00D66553" w:rsidP="00D66553">
      <w:pPr>
        <w:numPr>
          <w:ilvl w:val="0"/>
          <w:numId w:val="6"/>
        </w:numPr>
      </w:pPr>
      <w:r w:rsidRPr="00FD6282">
        <w:t>Brev Elrun og Kolbjørn Pedersen (bofast Skaiti)</w:t>
      </w:r>
    </w:p>
    <w:p w:rsidR="00D66553" w:rsidRPr="00FD6282" w:rsidRDefault="00D66553" w:rsidP="00D66553">
      <w:pPr>
        <w:numPr>
          <w:ilvl w:val="0"/>
          <w:numId w:val="6"/>
        </w:numPr>
      </w:pPr>
      <w:r w:rsidRPr="00FD6282">
        <w:t>Telefonsamtaler med driver på Skaiti Fjellcamp DA. Driver ønsker ikke parkering og adkomst ved Skaiti Fjellcamp. Parkeringsplasser og adkomst skuter må lokaliseres vekk fra grenda. Det er sett på alternative parkeringsplasser.</w:t>
      </w:r>
    </w:p>
    <w:p w:rsidR="00D66553" w:rsidRPr="00FD6282" w:rsidRDefault="00D66553" w:rsidP="00D66553"/>
    <w:p w:rsidR="00D66553" w:rsidRPr="00542E15" w:rsidRDefault="00D66553" w:rsidP="00D66553">
      <w:pPr>
        <w:rPr>
          <w:b/>
        </w:rPr>
      </w:pPr>
      <w:r>
        <w:t xml:space="preserve">Det anbefales at det arbeides videre med traseen. Vurdering av konsekvenser er ikke gjort. </w:t>
      </w:r>
    </w:p>
    <w:p w:rsidR="0030373B" w:rsidRDefault="009A6E46" w:rsidP="00D13C46"/>
    <w:p w:rsidR="00D113E5" w:rsidRDefault="009A6E46" w:rsidP="00D13C46"/>
    <w:p w:rsidR="00D66553" w:rsidRPr="00FD6282" w:rsidRDefault="00D66553" w:rsidP="00D66553">
      <w:pPr>
        <w:rPr>
          <w:b/>
        </w:rPr>
      </w:pPr>
      <w:r w:rsidRPr="00FD6282">
        <w:rPr>
          <w:b/>
        </w:rPr>
        <w:t xml:space="preserve">Sak 2013/1316. </w:t>
      </w:r>
      <w:r w:rsidR="00BD1EB7">
        <w:rPr>
          <w:b/>
        </w:rPr>
        <w:t xml:space="preserve">Forskrift skuterløype </w:t>
      </w:r>
      <w:r>
        <w:rPr>
          <w:b/>
        </w:rPr>
        <w:t>Junkerdal – Grensen</w:t>
      </w:r>
    </w:p>
    <w:p w:rsidR="00D66553" w:rsidRPr="00FD6282" w:rsidRDefault="00D66553" w:rsidP="00D66553">
      <w:r>
        <w:t xml:space="preserve">Gjennomgått </w:t>
      </w:r>
      <w:r w:rsidRPr="00FD6282">
        <w:t xml:space="preserve">kunnskapsgrunnlag </w:t>
      </w:r>
      <w:r>
        <w:t>på aktuell traseer</w:t>
      </w:r>
      <w:r w:rsidRPr="00FD6282">
        <w:t xml:space="preserve">.  </w:t>
      </w:r>
      <w:r>
        <w:t>Sak er forberedt til Saltdal formannskap men bør revideres. Kan arbeides med to alternativer en gjennom hyttefeltet og en under rv. 77 og kople den til løypenettet fra Skaiti.</w:t>
      </w:r>
    </w:p>
    <w:p w:rsidR="00D66553" w:rsidRDefault="00D66553" w:rsidP="00D66553"/>
    <w:p w:rsidR="00D66553" w:rsidRPr="00FD6282" w:rsidRDefault="00D66553" w:rsidP="00D66553">
      <w:pPr>
        <w:rPr>
          <w:b/>
        </w:rPr>
      </w:pPr>
      <w:r w:rsidRPr="00FD6282">
        <w:rPr>
          <w:b/>
        </w:rPr>
        <w:t>Prosess</w:t>
      </w:r>
      <w:r>
        <w:rPr>
          <w:b/>
        </w:rPr>
        <w:t>/innspill</w:t>
      </w:r>
      <w:r w:rsidRPr="00FD6282">
        <w:rPr>
          <w:b/>
        </w:rPr>
        <w:t xml:space="preserve"> hittil:</w:t>
      </w:r>
    </w:p>
    <w:p w:rsidR="00D66553" w:rsidRPr="00FD6282" w:rsidRDefault="00D66553" w:rsidP="00D66553">
      <w:pPr>
        <w:numPr>
          <w:ilvl w:val="0"/>
          <w:numId w:val="6"/>
        </w:numPr>
      </w:pPr>
      <w:r w:rsidRPr="00FD6282">
        <w:t>Møte med svenske reindriftsutøvere Semisjaur Sameby</w:t>
      </w:r>
      <w:r>
        <w:t xml:space="preserve"> (positiv til løype på sørsiden av rv. 77, men negativ til nordre).</w:t>
      </w:r>
    </w:p>
    <w:p w:rsidR="00D66553" w:rsidRPr="00FD6282" w:rsidRDefault="00D66553" w:rsidP="00D66553">
      <w:pPr>
        <w:numPr>
          <w:ilvl w:val="0"/>
          <w:numId w:val="6"/>
        </w:numPr>
      </w:pPr>
      <w:r w:rsidRPr="00FD6282">
        <w:t>Møte med Statens vegvesen</w:t>
      </w:r>
      <w:r>
        <w:t xml:space="preserve"> (negativ til kjøring lang rv. 77 må holdes avstand på min. 30 merter, likevel positiv til kulvert).</w:t>
      </w:r>
    </w:p>
    <w:p w:rsidR="00D66553" w:rsidRDefault="00D66553" w:rsidP="00D66553">
      <w:pPr>
        <w:numPr>
          <w:ilvl w:val="0"/>
          <w:numId w:val="9"/>
        </w:numPr>
      </w:pPr>
      <w:r w:rsidRPr="00FD6282">
        <w:t>Det må</w:t>
      </w:r>
      <w:r>
        <w:t xml:space="preserve"> vurderes om det skal utredes trase gjennom hyttefeltet. Ikke gjort vurderinger på tiltak som kan gjennomføres for å kunne føre en skuterløype gjennom hyttefeltet.</w:t>
      </w:r>
    </w:p>
    <w:p w:rsidR="00D66553" w:rsidRDefault="00D66553" w:rsidP="00D66553">
      <w:pPr>
        <w:numPr>
          <w:ilvl w:val="0"/>
          <w:numId w:val="9"/>
        </w:numPr>
      </w:pPr>
      <w:r>
        <w:t>Egnet</w:t>
      </w:r>
      <w:r w:rsidRPr="00FD6282">
        <w:t xml:space="preserve"> trase langs Rv. 77</w:t>
      </w:r>
      <w:r>
        <w:t xml:space="preserve"> </w:t>
      </w:r>
      <w:r w:rsidRPr="00FD6282">
        <w:t>Graddisvegen og kulvert under samme veg for videreføring mot Sverige</w:t>
      </w:r>
      <w:r>
        <w:t xml:space="preserve"> som koples på eventuell løype fra Skaiti.</w:t>
      </w:r>
      <w:r w:rsidRPr="00FD6282">
        <w:t xml:space="preserve"> </w:t>
      </w:r>
      <w:r>
        <w:t xml:space="preserve">Det må avklares i løpet av prosessen om det er mulig å føre en skuterløype langsmed Rv 77. </w:t>
      </w:r>
    </w:p>
    <w:p w:rsidR="00D66553" w:rsidRPr="00FD6282" w:rsidRDefault="00D66553" w:rsidP="00D66553">
      <w:pPr>
        <w:ind w:left="720"/>
      </w:pPr>
    </w:p>
    <w:p w:rsidR="00D66553" w:rsidRPr="00FD6282" w:rsidRDefault="00D66553" w:rsidP="00D66553">
      <w:r w:rsidRPr="00FD6282">
        <w:rPr>
          <w:b/>
          <w:bCs/>
        </w:rPr>
        <w:t>STØY</w:t>
      </w:r>
    </w:p>
    <w:p w:rsidR="00D66553" w:rsidRPr="00FD6282" w:rsidRDefault="00D66553" w:rsidP="00D66553">
      <w:r w:rsidRPr="00FD6282">
        <w:rPr>
          <w:noProof/>
        </w:rPr>
        <w:drawing>
          <wp:inline distT="0" distB="0" distL="0" distR="0">
            <wp:extent cx="5972175" cy="4772025"/>
            <wp:effectExtent l="0" t="0" r="9525"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2175" cy="4772025"/>
                    </a:xfrm>
                    <a:prstGeom prst="rect">
                      <a:avLst/>
                    </a:prstGeom>
                    <a:noFill/>
                    <a:ln>
                      <a:noFill/>
                    </a:ln>
                  </pic:spPr>
                </pic:pic>
              </a:graphicData>
            </a:graphic>
          </wp:inline>
        </w:drawing>
      </w:r>
    </w:p>
    <w:p w:rsidR="00D66553" w:rsidRPr="00FD6282" w:rsidRDefault="00D66553" w:rsidP="00D66553"/>
    <w:p w:rsidR="00D66553" w:rsidRPr="00FD6282" w:rsidRDefault="00D66553" w:rsidP="00D66553">
      <w:pPr>
        <w:rPr>
          <w:u w:val="single"/>
        </w:rPr>
      </w:pPr>
      <w:r w:rsidRPr="00FD6282">
        <w:rPr>
          <w:u w:val="single"/>
        </w:rPr>
        <w:t>Beregning av støy:</w:t>
      </w:r>
    </w:p>
    <w:p w:rsidR="00D66553" w:rsidRPr="00FD6282" w:rsidRDefault="00D66553" w:rsidP="00D66553">
      <w:r w:rsidRPr="00FD6282">
        <w:t>Ved beregning kan det benyttes sjablongmetoden. Dett</w:t>
      </w:r>
      <w:r>
        <w:t>e</w:t>
      </w:r>
      <w:r w:rsidRPr="00FD6282">
        <w:t xml:space="preserve"> er basert på gitte beregninger. Støybildet kan variere dersom det gjennomføres egne beregninger uten sjablongmetoden</w:t>
      </w:r>
      <w:r>
        <w:t xml:space="preserve"> </w:t>
      </w:r>
      <w:r w:rsidRPr="00E47BAC">
        <w:rPr>
          <w:i/>
        </w:rPr>
        <w:t>(bruk av høydekart og reelle målinger)</w:t>
      </w:r>
      <w:r w:rsidRPr="00FD6282">
        <w:t>.</w:t>
      </w:r>
    </w:p>
    <w:p w:rsidR="00D66553" w:rsidRPr="00FD6282" w:rsidRDefault="00D66553" w:rsidP="00D66553"/>
    <w:p w:rsidR="00D66553" w:rsidRPr="00FD6282" w:rsidRDefault="00D66553" w:rsidP="00D66553">
      <w:r w:rsidRPr="00FD6282">
        <w:t xml:space="preserve">Utgangspunktet både ved planlegging av ny virksomhet og endring av eksisterende virksomhet er at planen ikke skal føre til at eksisterende støyfølsom bebyggelse blir liggende innenfor det som er definert som gul eller rød sone i </w:t>
      </w:r>
      <w:hyperlink r:id="rId11" w:history="1">
        <w:r w:rsidRPr="00FD6282">
          <w:rPr>
            <w:rStyle w:val="Hyperkobling"/>
            <w:b/>
          </w:rPr>
          <w:t>retningslinjene.</w:t>
        </w:r>
      </w:hyperlink>
      <w:r w:rsidRPr="00FD6282">
        <w:t xml:space="preserve"> </w:t>
      </w:r>
    </w:p>
    <w:p w:rsidR="00D66553" w:rsidRPr="00FD6282" w:rsidRDefault="00D66553" w:rsidP="00D66553"/>
    <w:p w:rsidR="00D66553" w:rsidRPr="00FD6282" w:rsidRDefault="00D66553" w:rsidP="00D66553">
      <w:r w:rsidRPr="00FD6282">
        <w:t xml:space="preserve">Dersom dette ikke oppnås, skal det i planen: </w:t>
      </w:r>
    </w:p>
    <w:p w:rsidR="00D66553" w:rsidRPr="00FD6282" w:rsidRDefault="00D66553" w:rsidP="00D66553">
      <w:pPr>
        <w:numPr>
          <w:ilvl w:val="0"/>
          <w:numId w:val="7"/>
        </w:numPr>
      </w:pPr>
      <w:r w:rsidRPr="00FD6282">
        <w:t xml:space="preserve">Forklares hvorfor de anbefalte støygrensene i retningslinjene ikke kan innfris. Dette kan for eksempel være begrunnet i en avveining mot andre planhensyn og/eller at kostnadene med å overholde de anbefalte støygrensene ikke står i rimelig forhold til støymessige fordelene som kan oppnås (se eget avsnitt nedenfor). </w:t>
      </w:r>
    </w:p>
    <w:p w:rsidR="00D66553" w:rsidRPr="00FD6282" w:rsidRDefault="00D66553" w:rsidP="00D66553">
      <w:pPr>
        <w:numPr>
          <w:ilvl w:val="0"/>
          <w:numId w:val="7"/>
        </w:numPr>
      </w:pPr>
      <w:r w:rsidRPr="00FD6282">
        <w:t xml:space="preserve">Gjøres rede for de støymessige konsekvensene gjennomføring av planen vil medføre </w:t>
      </w:r>
    </w:p>
    <w:p w:rsidR="00D66553" w:rsidRPr="00FD6282" w:rsidRDefault="00D66553" w:rsidP="00D66553">
      <w:pPr>
        <w:numPr>
          <w:ilvl w:val="0"/>
          <w:numId w:val="7"/>
        </w:numPr>
      </w:pPr>
      <w:r w:rsidRPr="00FD6282">
        <w:t xml:space="preserve">Innarbeides tiltak eller vilkår om at det skal gis tilbud om tiltak som er nødvendige for å innfri kravene til innendørs støynivå i byggteknisk forskrift, jf NS 8175 klasse C, og kravene til støynivå på utendørs oppholdsareal (lokal skjerming). </w:t>
      </w:r>
    </w:p>
    <w:p w:rsidR="00D66553" w:rsidRDefault="00D66553" w:rsidP="00D66553"/>
    <w:p w:rsidR="00D66553" w:rsidRPr="00FD6282" w:rsidRDefault="00D66553" w:rsidP="00D66553">
      <w:pPr>
        <w:rPr>
          <w:b/>
        </w:rPr>
      </w:pPr>
      <w:r w:rsidRPr="00FD6282">
        <w:rPr>
          <w:b/>
        </w:rPr>
        <w:t>Mulighet for passering i hyttefeltet</w:t>
      </w:r>
    </w:p>
    <w:p w:rsidR="00D66553" w:rsidRPr="00FD6282" w:rsidRDefault="00D66553" w:rsidP="00D66553">
      <w:r w:rsidRPr="00FD6282">
        <w:t xml:space="preserve">Det er fullt mulig å </w:t>
      </w:r>
      <w:r>
        <w:t xml:space="preserve">vurdere å </w:t>
      </w:r>
      <w:r w:rsidRPr="00FD6282">
        <w:t>passere hyttefeltet med snøskuter. Rekkevidden av støy slik den er presentert i sjabl</w:t>
      </w:r>
      <w:r>
        <w:t xml:space="preserve">ongen er teoretisk beregnet, og </w:t>
      </w:r>
      <w:r w:rsidRPr="00FD6282">
        <w:t xml:space="preserve">veiledningen </w:t>
      </w:r>
      <w:r>
        <w:t xml:space="preserve">gjør en </w:t>
      </w:r>
      <w:r w:rsidRPr="00FD6282">
        <w:t>oppmerksom på at faktisk støyutbredelse ved nøyaktige støyberegninger kan gi andre avstander.</w:t>
      </w:r>
    </w:p>
    <w:p w:rsidR="00D66553" w:rsidRPr="00FD6282" w:rsidRDefault="00D66553" w:rsidP="00D66553"/>
    <w:p w:rsidR="00D66553" w:rsidRPr="00FD6282" w:rsidRDefault="00D66553" w:rsidP="00D66553">
      <w:pPr>
        <w:rPr>
          <w:u w:val="single"/>
        </w:rPr>
      </w:pPr>
      <w:r w:rsidRPr="00FD6282">
        <w:rPr>
          <w:u w:val="single"/>
        </w:rPr>
        <w:t>Virkemidler for reduksjon av støyplager:</w:t>
      </w:r>
    </w:p>
    <w:p w:rsidR="00D66553" w:rsidRPr="00FD6282" w:rsidRDefault="00D66553" w:rsidP="00D66553">
      <w:pPr>
        <w:numPr>
          <w:ilvl w:val="0"/>
          <w:numId w:val="7"/>
        </w:numPr>
      </w:pPr>
      <w:r w:rsidRPr="00FD6282">
        <w:t>Fart på skuter, reduseres denne kan løypenettet tilsvarende lokaliseres nærmere fritidsbebyggelse.</w:t>
      </w:r>
    </w:p>
    <w:p w:rsidR="00D66553" w:rsidRPr="00FD6282" w:rsidRDefault="00D66553" w:rsidP="00D66553">
      <w:pPr>
        <w:numPr>
          <w:ilvl w:val="0"/>
          <w:numId w:val="7"/>
        </w:numPr>
      </w:pPr>
      <w:r w:rsidRPr="00FD6282">
        <w:t>Tidsbruk av traseen.</w:t>
      </w:r>
    </w:p>
    <w:p w:rsidR="00D66553" w:rsidRPr="00FD6282" w:rsidRDefault="00D66553" w:rsidP="00D66553">
      <w:pPr>
        <w:numPr>
          <w:ilvl w:val="0"/>
          <w:numId w:val="7"/>
        </w:numPr>
      </w:pPr>
      <w:r w:rsidRPr="00FD6282">
        <w:t>Antallsbegrensning i form av årskort, sjablonger.</w:t>
      </w:r>
    </w:p>
    <w:p w:rsidR="00D66553" w:rsidRPr="00FD6282" w:rsidRDefault="00D66553" w:rsidP="00D66553">
      <w:pPr>
        <w:numPr>
          <w:ilvl w:val="0"/>
          <w:numId w:val="7"/>
        </w:numPr>
      </w:pPr>
      <w:r w:rsidRPr="00FD6282">
        <w:t xml:space="preserve">Støydempende tiltak. </w:t>
      </w:r>
    </w:p>
    <w:p w:rsidR="00D66553" w:rsidRPr="00FD6282" w:rsidRDefault="00D66553" w:rsidP="00D66553"/>
    <w:p w:rsidR="00D66553" w:rsidRPr="004979D9" w:rsidRDefault="00D66553" w:rsidP="00D66553">
      <w:pPr>
        <w:rPr>
          <w:b/>
        </w:rPr>
      </w:pPr>
      <w:r w:rsidRPr="004979D9">
        <w:rPr>
          <w:b/>
        </w:rPr>
        <w:t>Prosess/Innspill hittil</w:t>
      </w:r>
    </w:p>
    <w:p w:rsidR="00D66553" w:rsidRDefault="00D66553" w:rsidP="00D66553">
      <w:pPr>
        <w:numPr>
          <w:ilvl w:val="0"/>
          <w:numId w:val="8"/>
        </w:numPr>
      </w:pPr>
      <w:r w:rsidRPr="00FD6282">
        <w:t>Det er kommet innspill fra hytteforeningen at de ikke ønsker skuterløype gjennom hyttefeltet.</w:t>
      </w:r>
    </w:p>
    <w:p w:rsidR="00D66553" w:rsidRDefault="00D66553" w:rsidP="00D66553">
      <w:pPr>
        <w:numPr>
          <w:ilvl w:val="0"/>
          <w:numId w:val="8"/>
        </w:numPr>
      </w:pPr>
      <w:r>
        <w:t xml:space="preserve">Det er gjennomført samtaler med daglig leder på Graddis Fjellstue (Rune Berg). </w:t>
      </w:r>
    </w:p>
    <w:p w:rsidR="00D66553" w:rsidRPr="00FD6282" w:rsidRDefault="00D66553" w:rsidP="00D66553">
      <w:pPr>
        <w:numPr>
          <w:ilvl w:val="0"/>
          <w:numId w:val="6"/>
        </w:numPr>
      </w:pPr>
      <w:r w:rsidRPr="00FD6282">
        <w:t>Møte med svenske reindriftsutøvere Semisjaur Sameby</w:t>
      </w:r>
    </w:p>
    <w:p w:rsidR="00D66553" w:rsidRPr="00FD6282" w:rsidRDefault="00D66553" w:rsidP="00D66553"/>
    <w:p w:rsidR="00D66553" w:rsidRDefault="00D66553" w:rsidP="00D66553"/>
    <w:p w:rsidR="00D66553" w:rsidRDefault="00D66553" w:rsidP="00D66553">
      <w:r>
        <w:t>Det anbefales å arbeide med traseen videre. Vurdering av konsekvenser er ikke gjort.</w:t>
      </w:r>
    </w:p>
    <w:p w:rsidR="00D66553" w:rsidRPr="00FD6282" w:rsidRDefault="00D66553" w:rsidP="00D66553"/>
    <w:p w:rsidR="00D66553" w:rsidRPr="00FD6282" w:rsidRDefault="009A6E46" w:rsidP="00D66553">
      <w:hyperlink r:id="rId12" w:history="1">
        <w:r w:rsidR="00D66553" w:rsidRPr="00FD6282">
          <w:rPr>
            <w:rStyle w:val="Hyperkobling"/>
          </w:rPr>
          <w:t>Veileder støy</w:t>
        </w:r>
      </w:hyperlink>
    </w:p>
    <w:p w:rsidR="00D66553" w:rsidRPr="00FD6282" w:rsidRDefault="009A6E46" w:rsidP="00D66553">
      <w:hyperlink r:id="rId13" w:anchor="kart" w:history="1">
        <w:r w:rsidR="00D66553" w:rsidRPr="00FD6282">
          <w:rPr>
            <w:rStyle w:val="Hyperkobling"/>
          </w:rPr>
          <w:t>Veileder forskrift rekreasjonsløyper</w:t>
        </w:r>
      </w:hyperlink>
    </w:p>
    <w:p w:rsidR="00D66553" w:rsidRPr="00FD6282" w:rsidRDefault="009A6E46" w:rsidP="00D66553">
      <w:hyperlink r:id="rId14" w:history="1">
        <w:r w:rsidR="00D66553" w:rsidRPr="00FD6282">
          <w:rPr>
            <w:rStyle w:val="Hyperkobling"/>
          </w:rPr>
          <w:t>Eksempelsamling snøskuterkjøring på islagt vann</w:t>
        </w:r>
      </w:hyperlink>
    </w:p>
    <w:p w:rsidR="00D66553" w:rsidRPr="00FD6282" w:rsidRDefault="009A6E46" w:rsidP="00D66553">
      <w:hyperlink r:id="rId15" w:history="1">
        <w:r w:rsidR="00D66553" w:rsidRPr="00FD6282">
          <w:rPr>
            <w:rStyle w:val="Hyperkobling"/>
          </w:rPr>
          <w:t>Støyrapport Snøskuterløype Engerdal</w:t>
        </w:r>
      </w:hyperlink>
    </w:p>
    <w:p w:rsidR="00D66553" w:rsidRDefault="00D66553" w:rsidP="00D66553"/>
    <w:p w:rsidR="00D66553" w:rsidRDefault="00D66553" w:rsidP="00D66553"/>
    <w:p w:rsidR="00D717E4" w:rsidRDefault="009A6E46" w:rsidP="00D13C46"/>
    <w:p w:rsidR="00D717E4" w:rsidRDefault="009A6E46" w:rsidP="00D13C46"/>
    <w:p w:rsidR="00D717E4" w:rsidRDefault="009E0E51" w:rsidP="00D13C46">
      <w:r>
        <w:t>Med hilsen</w:t>
      </w:r>
    </w:p>
    <w:p w:rsidR="00E9428B" w:rsidRDefault="009A6E46" w:rsidP="00D13C46"/>
    <w:p w:rsidR="00D13C46" w:rsidRDefault="009A6E46" w:rsidP="00D13C46"/>
    <w:p w:rsidR="00231A4D" w:rsidRDefault="009E0E51" w:rsidP="00FD199A">
      <w:bookmarkStart w:id="8" w:name="SaksbehandlerNavn2"/>
      <w:r>
        <w:t>Frode Tjønn</w:t>
      </w:r>
      <w:bookmarkEnd w:id="8"/>
    </w:p>
    <w:p w:rsidR="00D13C46" w:rsidRDefault="009E0E51" w:rsidP="00D13C46">
      <w:bookmarkStart w:id="9" w:name="SaksbehandlerStilling"/>
      <w:r>
        <w:t>Arealplanlegger</w:t>
      </w:r>
      <w:bookmarkEnd w:id="9"/>
    </w:p>
    <w:p w:rsidR="00D13C46" w:rsidRDefault="009A6E46" w:rsidP="00D13C46"/>
    <w:p w:rsidR="00E9428B" w:rsidRDefault="009A6E46" w:rsidP="00D13C46"/>
    <w:p w:rsidR="00D13C46" w:rsidRDefault="009A6E46" w:rsidP="00D13C46">
      <w:bookmarkStart w:id="10" w:name="Vedlegg"/>
      <w:bookmarkEnd w:id="10"/>
    </w:p>
    <w:p w:rsidR="00D13C46" w:rsidRDefault="009A6E46" w:rsidP="00D13C46"/>
    <w:p w:rsidR="002C0D3C" w:rsidRDefault="009A6E46" w:rsidP="00D13C46">
      <w:bookmarkStart w:id="11" w:name="KopiTilTabell"/>
      <w:bookmarkEnd w:id="11"/>
    </w:p>
    <w:p w:rsidR="002F10A5" w:rsidRPr="00D13C46" w:rsidRDefault="009A6E46" w:rsidP="00D13C46"/>
    <w:sectPr w:rsidR="002F10A5" w:rsidRPr="00D13C46" w:rsidSect="000E542B">
      <w:headerReference w:type="even" r:id="rId16"/>
      <w:headerReference w:type="default" r:id="rId17"/>
      <w:headerReference w:type="first" r:id="rId18"/>
      <w:pgSz w:w="11906" w:h="16838" w:code="9"/>
      <w:pgMar w:top="1418" w:right="1106" w:bottom="1418" w:left="1418"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E46" w:rsidRDefault="009A6E46">
      <w:r>
        <w:separator/>
      </w:r>
    </w:p>
  </w:endnote>
  <w:endnote w:type="continuationSeparator" w:id="0">
    <w:p w:rsidR="009A6E46" w:rsidRDefault="009A6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E46" w:rsidRDefault="009A6E46">
      <w:r>
        <w:separator/>
      </w:r>
    </w:p>
  </w:footnote>
  <w:footnote w:type="continuationSeparator" w:id="0">
    <w:p w:rsidR="009A6E46" w:rsidRDefault="009A6E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6AC" w:rsidRDefault="009A6E46" w:rsidP="00D13C46"/>
  <w:p w:rsidR="00CC76AC" w:rsidRDefault="009A6E46" w:rsidP="00D13C46"/>
  <w:p w:rsidR="00CC76AC" w:rsidRDefault="009A6E46" w:rsidP="00D13C46"/>
  <w:p w:rsidR="00CC76AC" w:rsidRDefault="009A6E46" w:rsidP="00D13C46"/>
  <w:p w:rsidR="00CC76AC" w:rsidRDefault="009A6E46" w:rsidP="00D13C46"/>
  <w:p w:rsidR="00CC76AC" w:rsidRDefault="009A6E46" w:rsidP="00D13C46"/>
  <w:p w:rsidR="00CC76AC" w:rsidRDefault="009A6E46" w:rsidP="00D13C4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6AC" w:rsidRPr="00485210" w:rsidRDefault="009E0E51" w:rsidP="007E449B">
    <w:pPr>
      <w:pStyle w:val="Topptekst"/>
      <w:tabs>
        <w:tab w:val="clear" w:pos="4536"/>
        <w:tab w:val="clear" w:pos="9072"/>
        <w:tab w:val="right" w:pos="9900"/>
      </w:tabs>
      <w:ind w:left="108"/>
    </w:pPr>
    <w:r w:rsidRPr="00C24AC5">
      <w:tab/>
    </w:r>
  </w:p>
  <w:p w:rsidR="00CC76AC" w:rsidRDefault="009A6E46" w:rsidP="00756468"/>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940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321"/>
      <w:gridCol w:w="4053"/>
      <w:gridCol w:w="4034"/>
    </w:tblGrid>
    <w:tr w:rsidR="00DD4BA6">
      <w:trPr>
        <w:trHeight w:hRule="exact" w:val="1701"/>
      </w:trPr>
      <w:tc>
        <w:tcPr>
          <w:tcW w:w="1321" w:type="dxa"/>
        </w:tcPr>
        <w:p w:rsidR="00CC76AC" w:rsidRPr="00C24AC5" w:rsidRDefault="009E0E51" w:rsidP="002C17F5">
          <w:pPr>
            <w:spacing w:before="120"/>
          </w:pPr>
          <w:r>
            <w:rPr>
              <w:noProof/>
            </w:rPr>
            <w:drawing>
              <wp:inline distT="0" distB="0" distL="0" distR="0">
                <wp:extent cx="617855" cy="74168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7855" cy="741680"/>
                        </a:xfrm>
                        <a:prstGeom prst="rect">
                          <a:avLst/>
                        </a:prstGeom>
                        <a:noFill/>
                        <a:ln>
                          <a:noFill/>
                        </a:ln>
                      </pic:spPr>
                    </pic:pic>
                  </a:graphicData>
                </a:graphic>
              </wp:inline>
            </w:drawing>
          </w:r>
        </w:p>
      </w:tc>
      <w:tc>
        <w:tcPr>
          <w:tcW w:w="4053" w:type="dxa"/>
        </w:tcPr>
        <w:p w:rsidR="00CC76AC" w:rsidRPr="00825289" w:rsidRDefault="009A6E46" w:rsidP="002C17F5">
          <w:pPr>
            <w:rPr>
              <w:b/>
              <w:sz w:val="8"/>
              <w:szCs w:val="8"/>
            </w:rPr>
          </w:pPr>
        </w:p>
        <w:p w:rsidR="00CC76AC" w:rsidRPr="00320E89" w:rsidRDefault="009E0E51" w:rsidP="002C17F5">
          <w:pPr>
            <w:rPr>
              <w:b/>
              <w:sz w:val="32"/>
              <w:szCs w:val="32"/>
            </w:rPr>
          </w:pPr>
          <w:r>
            <w:rPr>
              <w:b/>
              <w:sz w:val="32"/>
              <w:szCs w:val="32"/>
            </w:rPr>
            <w:t>Saltdal</w:t>
          </w:r>
          <w:r w:rsidRPr="00320E89">
            <w:rPr>
              <w:b/>
              <w:sz w:val="32"/>
              <w:szCs w:val="32"/>
            </w:rPr>
            <w:t xml:space="preserve"> kommune</w:t>
          </w:r>
        </w:p>
        <w:p w:rsidR="00CC76AC" w:rsidRPr="00E9428B" w:rsidRDefault="009E0E51" w:rsidP="002C17F5">
          <w:bookmarkStart w:id="12" w:name="admBetegnelse"/>
          <w:r w:rsidRPr="00E9428B">
            <w:t>Virksomhetsområde for plan og utvikling</w:t>
          </w:r>
          <w:bookmarkEnd w:id="12"/>
        </w:p>
      </w:tc>
      <w:tc>
        <w:tcPr>
          <w:tcW w:w="4034" w:type="dxa"/>
        </w:tcPr>
        <w:p w:rsidR="00CC76AC" w:rsidRPr="00AB5B41" w:rsidRDefault="009A6E46" w:rsidP="002C17F5">
          <w:pPr>
            <w:pStyle w:val="Topptekst"/>
          </w:pPr>
        </w:p>
      </w:tc>
    </w:tr>
  </w:tbl>
  <w:p w:rsidR="00CC76AC" w:rsidRDefault="009A6E46" w:rsidP="0064468C">
    <w:pPr>
      <w:pStyle w:val="Top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E0B0E"/>
    <w:multiLevelType w:val="hybridMultilevel"/>
    <w:tmpl w:val="9372FD2A"/>
    <w:lvl w:ilvl="0" w:tplc="485EA852">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FF83F46"/>
    <w:multiLevelType w:val="hybridMultilevel"/>
    <w:tmpl w:val="C172CCF4"/>
    <w:lvl w:ilvl="0" w:tplc="485EA852">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3D17CDE"/>
    <w:multiLevelType w:val="hybridMultilevel"/>
    <w:tmpl w:val="1EC0064E"/>
    <w:lvl w:ilvl="0" w:tplc="485EA852">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42441DE"/>
    <w:multiLevelType w:val="hybridMultilevel"/>
    <w:tmpl w:val="09A65F4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B2E1F25"/>
    <w:multiLevelType w:val="multilevel"/>
    <w:tmpl w:val="6666D30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440"/>
        </w:tabs>
        <w:ind w:left="1440" w:hanging="360"/>
      </w:pPr>
      <w:rPr>
        <w:rFonts w:ascii="Tahoma" w:hAnsi="Tahoma"/>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3A1452"/>
    <w:multiLevelType w:val="hybridMultilevel"/>
    <w:tmpl w:val="FD36A65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1D3733A"/>
    <w:multiLevelType w:val="hybridMultilevel"/>
    <w:tmpl w:val="8EE4320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5063001"/>
    <w:multiLevelType w:val="hybridMultilevel"/>
    <w:tmpl w:val="6666D306"/>
    <w:lvl w:ilvl="0" w:tplc="DE2AB37E">
      <w:start w:val="1"/>
      <w:numFmt w:val="bullet"/>
      <w:lvlText w:val=""/>
      <w:lvlJc w:val="left"/>
      <w:pPr>
        <w:tabs>
          <w:tab w:val="num" w:pos="1080"/>
        </w:tabs>
        <w:ind w:left="1080" w:hanging="360"/>
      </w:pPr>
      <w:rPr>
        <w:rFonts w:ascii="Symbol" w:hAnsi="Symbol" w:hint="default"/>
      </w:rPr>
    </w:lvl>
    <w:lvl w:ilvl="1" w:tplc="80F604E6">
      <w:start w:val="1"/>
      <w:numFmt w:val="decimal"/>
      <w:lvlText w:val="%2."/>
      <w:lvlJc w:val="left"/>
      <w:pPr>
        <w:tabs>
          <w:tab w:val="num" w:pos="1440"/>
        </w:tabs>
        <w:ind w:left="1440" w:hanging="360"/>
      </w:pPr>
      <w:rPr>
        <w:rFonts w:hint="default"/>
      </w:rPr>
    </w:lvl>
    <w:lvl w:ilvl="2" w:tplc="69C4EB60" w:tentative="1">
      <w:start w:val="1"/>
      <w:numFmt w:val="bullet"/>
      <w:lvlText w:val=""/>
      <w:lvlJc w:val="left"/>
      <w:pPr>
        <w:tabs>
          <w:tab w:val="num" w:pos="2160"/>
        </w:tabs>
        <w:ind w:left="2160" w:hanging="360"/>
      </w:pPr>
      <w:rPr>
        <w:rFonts w:ascii="Wingdings" w:hAnsi="Wingdings" w:hint="default"/>
      </w:rPr>
    </w:lvl>
    <w:lvl w:ilvl="3" w:tplc="4A3A15F4" w:tentative="1">
      <w:start w:val="1"/>
      <w:numFmt w:val="bullet"/>
      <w:lvlText w:val=""/>
      <w:lvlJc w:val="left"/>
      <w:pPr>
        <w:tabs>
          <w:tab w:val="num" w:pos="2880"/>
        </w:tabs>
        <w:ind w:left="2880" w:hanging="360"/>
      </w:pPr>
      <w:rPr>
        <w:rFonts w:ascii="Symbol" w:hAnsi="Symbol" w:hint="default"/>
      </w:rPr>
    </w:lvl>
    <w:lvl w:ilvl="4" w:tplc="8CB68DDC" w:tentative="1">
      <w:start w:val="1"/>
      <w:numFmt w:val="bullet"/>
      <w:lvlText w:val="o"/>
      <w:lvlJc w:val="left"/>
      <w:pPr>
        <w:tabs>
          <w:tab w:val="num" w:pos="3600"/>
        </w:tabs>
        <w:ind w:left="3600" w:hanging="360"/>
      </w:pPr>
      <w:rPr>
        <w:rFonts w:ascii="Courier New" w:hAnsi="Courier New" w:cs="Courier New" w:hint="default"/>
      </w:rPr>
    </w:lvl>
    <w:lvl w:ilvl="5" w:tplc="96B04296" w:tentative="1">
      <w:start w:val="1"/>
      <w:numFmt w:val="bullet"/>
      <w:lvlText w:val=""/>
      <w:lvlJc w:val="left"/>
      <w:pPr>
        <w:tabs>
          <w:tab w:val="num" w:pos="4320"/>
        </w:tabs>
        <w:ind w:left="4320" w:hanging="360"/>
      </w:pPr>
      <w:rPr>
        <w:rFonts w:ascii="Wingdings" w:hAnsi="Wingdings" w:hint="default"/>
      </w:rPr>
    </w:lvl>
    <w:lvl w:ilvl="6" w:tplc="DBF0311A" w:tentative="1">
      <w:start w:val="1"/>
      <w:numFmt w:val="bullet"/>
      <w:lvlText w:val=""/>
      <w:lvlJc w:val="left"/>
      <w:pPr>
        <w:tabs>
          <w:tab w:val="num" w:pos="5040"/>
        </w:tabs>
        <w:ind w:left="5040" w:hanging="360"/>
      </w:pPr>
      <w:rPr>
        <w:rFonts w:ascii="Symbol" w:hAnsi="Symbol" w:hint="default"/>
      </w:rPr>
    </w:lvl>
    <w:lvl w:ilvl="7" w:tplc="201064C0" w:tentative="1">
      <w:start w:val="1"/>
      <w:numFmt w:val="bullet"/>
      <w:lvlText w:val="o"/>
      <w:lvlJc w:val="left"/>
      <w:pPr>
        <w:tabs>
          <w:tab w:val="num" w:pos="5760"/>
        </w:tabs>
        <w:ind w:left="5760" w:hanging="360"/>
      </w:pPr>
      <w:rPr>
        <w:rFonts w:ascii="Courier New" w:hAnsi="Courier New" w:cs="Courier New" w:hint="default"/>
      </w:rPr>
    </w:lvl>
    <w:lvl w:ilvl="8" w:tplc="77DA80D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6D5432"/>
    <w:multiLevelType w:val="hybridMultilevel"/>
    <w:tmpl w:val="82BCC9FE"/>
    <w:lvl w:ilvl="0" w:tplc="0E9CBC0E">
      <w:start w:val="1"/>
      <w:numFmt w:val="bullet"/>
      <w:lvlText w:val=""/>
      <w:lvlJc w:val="left"/>
      <w:pPr>
        <w:tabs>
          <w:tab w:val="num" w:pos="1080"/>
        </w:tabs>
        <w:ind w:left="1080" w:hanging="360"/>
      </w:pPr>
      <w:rPr>
        <w:rFonts w:ascii="Symbol" w:hAnsi="Symbol" w:hint="default"/>
      </w:rPr>
    </w:lvl>
    <w:lvl w:ilvl="1" w:tplc="EC5E70F2">
      <w:start w:val="1"/>
      <w:numFmt w:val="decimal"/>
      <w:lvlText w:val="%2."/>
      <w:lvlJc w:val="left"/>
      <w:pPr>
        <w:tabs>
          <w:tab w:val="num" w:pos="1440"/>
        </w:tabs>
        <w:ind w:left="1440" w:hanging="360"/>
      </w:pPr>
      <w:rPr>
        <w:rFonts w:hint="default"/>
      </w:rPr>
    </w:lvl>
    <w:lvl w:ilvl="2" w:tplc="85546064" w:tentative="1">
      <w:start w:val="1"/>
      <w:numFmt w:val="bullet"/>
      <w:lvlText w:val=""/>
      <w:lvlJc w:val="left"/>
      <w:pPr>
        <w:tabs>
          <w:tab w:val="num" w:pos="2160"/>
        </w:tabs>
        <w:ind w:left="2160" w:hanging="360"/>
      </w:pPr>
      <w:rPr>
        <w:rFonts w:ascii="Wingdings" w:hAnsi="Wingdings" w:hint="default"/>
      </w:rPr>
    </w:lvl>
    <w:lvl w:ilvl="3" w:tplc="6CC2B470" w:tentative="1">
      <w:start w:val="1"/>
      <w:numFmt w:val="bullet"/>
      <w:lvlText w:val=""/>
      <w:lvlJc w:val="left"/>
      <w:pPr>
        <w:tabs>
          <w:tab w:val="num" w:pos="2880"/>
        </w:tabs>
        <w:ind w:left="2880" w:hanging="360"/>
      </w:pPr>
      <w:rPr>
        <w:rFonts w:ascii="Symbol" w:hAnsi="Symbol" w:hint="default"/>
      </w:rPr>
    </w:lvl>
    <w:lvl w:ilvl="4" w:tplc="A2542238" w:tentative="1">
      <w:start w:val="1"/>
      <w:numFmt w:val="bullet"/>
      <w:lvlText w:val="o"/>
      <w:lvlJc w:val="left"/>
      <w:pPr>
        <w:tabs>
          <w:tab w:val="num" w:pos="3600"/>
        </w:tabs>
        <w:ind w:left="3600" w:hanging="360"/>
      </w:pPr>
      <w:rPr>
        <w:rFonts w:ascii="Courier New" w:hAnsi="Courier New" w:cs="Courier New" w:hint="default"/>
      </w:rPr>
    </w:lvl>
    <w:lvl w:ilvl="5" w:tplc="0C6AAC5C" w:tentative="1">
      <w:start w:val="1"/>
      <w:numFmt w:val="bullet"/>
      <w:lvlText w:val=""/>
      <w:lvlJc w:val="left"/>
      <w:pPr>
        <w:tabs>
          <w:tab w:val="num" w:pos="4320"/>
        </w:tabs>
        <w:ind w:left="4320" w:hanging="360"/>
      </w:pPr>
      <w:rPr>
        <w:rFonts w:ascii="Wingdings" w:hAnsi="Wingdings" w:hint="default"/>
      </w:rPr>
    </w:lvl>
    <w:lvl w:ilvl="6" w:tplc="B57257DE" w:tentative="1">
      <w:start w:val="1"/>
      <w:numFmt w:val="bullet"/>
      <w:lvlText w:val=""/>
      <w:lvlJc w:val="left"/>
      <w:pPr>
        <w:tabs>
          <w:tab w:val="num" w:pos="5040"/>
        </w:tabs>
        <w:ind w:left="5040" w:hanging="360"/>
      </w:pPr>
      <w:rPr>
        <w:rFonts w:ascii="Symbol" w:hAnsi="Symbol" w:hint="default"/>
      </w:rPr>
    </w:lvl>
    <w:lvl w:ilvl="7" w:tplc="59E89A8A" w:tentative="1">
      <w:start w:val="1"/>
      <w:numFmt w:val="bullet"/>
      <w:lvlText w:val="o"/>
      <w:lvlJc w:val="left"/>
      <w:pPr>
        <w:tabs>
          <w:tab w:val="num" w:pos="5760"/>
        </w:tabs>
        <w:ind w:left="5760" w:hanging="360"/>
      </w:pPr>
      <w:rPr>
        <w:rFonts w:ascii="Courier New" w:hAnsi="Courier New" w:cs="Courier New" w:hint="default"/>
      </w:rPr>
    </w:lvl>
    <w:lvl w:ilvl="8" w:tplc="502291E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EA34EA"/>
    <w:multiLevelType w:val="hybridMultilevel"/>
    <w:tmpl w:val="49188F5E"/>
    <w:lvl w:ilvl="0" w:tplc="485EA852">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F9D315D"/>
    <w:multiLevelType w:val="hybridMultilevel"/>
    <w:tmpl w:val="FE662C62"/>
    <w:lvl w:ilvl="0" w:tplc="D8CCB0A0">
      <w:start w:val="38"/>
      <w:numFmt w:val="bullet"/>
      <w:lvlText w:val="-"/>
      <w:lvlJc w:val="left"/>
      <w:pPr>
        <w:tabs>
          <w:tab w:val="num" w:pos="720"/>
        </w:tabs>
        <w:ind w:left="720" w:hanging="360"/>
      </w:pPr>
      <w:rPr>
        <w:rFonts w:ascii="Tahoma" w:eastAsia="Times New Roman" w:hAnsi="Tahoma" w:cs="Tahoma" w:hint="default"/>
      </w:rPr>
    </w:lvl>
    <w:lvl w:ilvl="1" w:tplc="6BC01002" w:tentative="1">
      <w:start w:val="1"/>
      <w:numFmt w:val="bullet"/>
      <w:lvlText w:val="o"/>
      <w:lvlJc w:val="left"/>
      <w:pPr>
        <w:tabs>
          <w:tab w:val="num" w:pos="1440"/>
        </w:tabs>
        <w:ind w:left="1440" w:hanging="360"/>
      </w:pPr>
      <w:rPr>
        <w:rFonts w:ascii="Courier New" w:hAnsi="Courier New" w:cs="Courier New" w:hint="default"/>
      </w:rPr>
    </w:lvl>
    <w:lvl w:ilvl="2" w:tplc="63BA679E" w:tentative="1">
      <w:start w:val="1"/>
      <w:numFmt w:val="bullet"/>
      <w:lvlText w:val=""/>
      <w:lvlJc w:val="left"/>
      <w:pPr>
        <w:tabs>
          <w:tab w:val="num" w:pos="2160"/>
        </w:tabs>
        <w:ind w:left="2160" w:hanging="360"/>
      </w:pPr>
      <w:rPr>
        <w:rFonts w:ascii="Wingdings" w:hAnsi="Wingdings" w:hint="default"/>
      </w:rPr>
    </w:lvl>
    <w:lvl w:ilvl="3" w:tplc="9A60D558" w:tentative="1">
      <w:start w:val="1"/>
      <w:numFmt w:val="bullet"/>
      <w:lvlText w:val=""/>
      <w:lvlJc w:val="left"/>
      <w:pPr>
        <w:tabs>
          <w:tab w:val="num" w:pos="2880"/>
        </w:tabs>
        <w:ind w:left="2880" w:hanging="360"/>
      </w:pPr>
      <w:rPr>
        <w:rFonts w:ascii="Symbol" w:hAnsi="Symbol" w:hint="default"/>
      </w:rPr>
    </w:lvl>
    <w:lvl w:ilvl="4" w:tplc="3FC6D9FA" w:tentative="1">
      <w:start w:val="1"/>
      <w:numFmt w:val="bullet"/>
      <w:lvlText w:val="o"/>
      <w:lvlJc w:val="left"/>
      <w:pPr>
        <w:tabs>
          <w:tab w:val="num" w:pos="3600"/>
        </w:tabs>
        <w:ind w:left="3600" w:hanging="360"/>
      </w:pPr>
      <w:rPr>
        <w:rFonts w:ascii="Courier New" w:hAnsi="Courier New" w:cs="Courier New" w:hint="default"/>
      </w:rPr>
    </w:lvl>
    <w:lvl w:ilvl="5" w:tplc="09401632" w:tentative="1">
      <w:start w:val="1"/>
      <w:numFmt w:val="bullet"/>
      <w:lvlText w:val=""/>
      <w:lvlJc w:val="left"/>
      <w:pPr>
        <w:tabs>
          <w:tab w:val="num" w:pos="4320"/>
        </w:tabs>
        <w:ind w:left="4320" w:hanging="360"/>
      </w:pPr>
      <w:rPr>
        <w:rFonts w:ascii="Wingdings" w:hAnsi="Wingdings" w:hint="default"/>
      </w:rPr>
    </w:lvl>
    <w:lvl w:ilvl="6" w:tplc="F260F494" w:tentative="1">
      <w:start w:val="1"/>
      <w:numFmt w:val="bullet"/>
      <w:lvlText w:val=""/>
      <w:lvlJc w:val="left"/>
      <w:pPr>
        <w:tabs>
          <w:tab w:val="num" w:pos="5040"/>
        </w:tabs>
        <w:ind w:left="5040" w:hanging="360"/>
      </w:pPr>
      <w:rPr>
        <w:rFonts w:ascii="Symbol" w:hAnsi="Symbol" w:hint="default"/>
      </w:rPr>
    </w:lvl>
    <w:lvl w:ilvl="7" w:tplc="8792854A" w:tentative="1">
      <w:start w:val="1"/>
      <w:numFmt w:val="bullet"/>
      <w:lvlText w:val="o"/>
      <w:lvlJc w:val="left"/>
      <w:pPr>
        <w:tabs>
          <w:tab w:val="num" w:pos="5760"/>
        </w:tabs>
        <w:ind w:left="5760" w:hanging="360"/>
      </w:pPr>
      <w:rPr>
        <w:rFonts w:ascii="Courier New" w:hAnsi="Courier New" w:cs="Courier New" w:hint="default"/>
      </w:rPr>
    </w:lvl>
    <w:lvl w:ilvl="8" w:tplc="EBB64EE2"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8"/>
  </w:num>
  <w:num w:numId="4">
    <w:abstractNumId w:val="10"/>
  </w:num>
  <w:num w:numId="5">
    <w:abstractNumId w:val="3"/>
  </w:num>
  <w:num w:numId="6">
    <w:abstractNumId w:val="1"/>
  </w:num>
  <w:num w:numId="7">
    <w:abstractNumId w:val="0"/>
  </w:num>
  <w:num w:numId="8">
    <w:abstractNumId w:val="9"/>
  </w:num>
  <w:num w:numId="9">
    <w:abstractNumId w:val="2"/>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A6"/>
    <w:rsid w:val="0057661D"/>
    <w:rsid w:val="006269B2"/>
    <w:rsid w:val="009A6E46"/>
    <w:rsid w:val="009E0E51"/>
    <w:rsid w:val="00A44DE8"/>
    <w:rsid w:val="00BD1EB7"/>
    <w:rsid w:val="00D66553"/>
    <w:rsid w:val="00DB0CE9"/>
    <w:rsid w:val="00DD4BA6"/>
    <w:rsid w:val="00F4750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06EF262-EA01-43AC-ACE4-662F2C201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701"/>
    <w:rPr>
      <w:sz w:val="24"/>
      <w:szCs w:val="24"/>
    </w:rPr>
  </w:style>
  <w:style w:type="paragraph" w:styleId="Overskrift1">
    <w:name w:val="heading 1"/>
    <w:basedOn w:val="Normal"/>
    <w:next w:val="Normal"/>
    <w:qFormat/>
    <w:rsid w:val="00D91E88"/>
    <w:pPr>
      <w:keepNext/>
      <w:spacing w:before="240" w:after="240"/>
      <w:outlineLvl w:val="0"/>
    </w:pPr>
    <w:rPr>
      <w:rFonts w:cs="Arial"/>
      <w:b/>
      <w:bCs/>
      <w:kern w:val="32"/>
      <w:szCs w:val="28"/>
    </w:rPr>
  </w:style>
  <w:style w:type="paragraph" w:styleId="Overskrift2">
    <w:name w:val="heading 2"/>
    <w:basedOn w:val="Normal"/>
    <w:next w:val="Normal"/>
    <w:qFormat/>
    <w:rsid w:val="0030373B"/>
    <w:pPr>
      <w:keepNext/>
      <w:spacing w:before="240" w:after="120"/>
      <w:outlineLvl w:val="1"/>
    </w:pPr>
    <w:rPr>
      <w:rFonts w:cs="Arial"/>
      <w:b/>
      <w:bCs/>
      <w:iCs/>
      <w:szCs w:val="28"/>
    </w:rPr>
  </w:style>
  <w:style w:type="paragraph" w:styleId="Overskrift3">
    <w:name w:val="heading 3"/>
    <w:basedOn w:val="Normal"/>
    <w:next w:val="Normal"/>
    <w:autoRedefine/>
    <w:qFormat/>
    <w:rsid w:val="00D13C46"/>
    <w:pPr>
      <w:keepNext/>
      <w:spacing w:before="240" w:after="120"/>
      <w:outlineLvl w:val="2"/>
    </w:pPr>
    <w:rPr>
      <w:rFonts w:cs="Arial"/>
      <w:bCs/>
      <w:i/>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C24AC5"/>
    <w:pPr>
      <w:tabs>
        <w:tab w:val="center" w:pos="4536"/>
        <w:tab w:val="right" w:pos="9072"/>
      </w:tabs>
    </w:pPr>
    <w:rPr>
      <w:sz w:val="16"/>
    </w:rPr>
  </w:style>
  <w:style w:type="paragraph" w:styleId="Bunntekst">
    <w:name w:val="footer"/>
    <w:basedOn w:val="Normal"/>
    <w:rsid w:val="003927D9"/>
    <w:pPr>
      <w:tabs>
        <w:tab w:val="center" w:pos="4536"/>
        <w:tab w:val="right" w:pos="9072"/>
      </w:tabs>
    </w:pPr>
  </w:style>
  <w:style w:type="table" w:styleId="Tabellrutenett">
    <w:name w:val="Table Grid"/>
    <w:basedOn w:val="Vanligtabell"/>
    <w:rsid w:val="00C1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l">
    <w:name w:val="page number"/>
    <w:basedOn w:val="Standardskriftforavsnitt"/>
    <w:rsid w:val="00485210"/>
  </w:style>
  <w:style w:type="paragraph" w:customStyle="1" w:styleId="Sakstittel1">
    <w:name w:val="Sakstittel1"/>
    <w:basedOn w:val="Overskrift1"/>
    <w:rsid w:val="00E87647"/>
  </w:style>
  <w:style w:type="paragraph" w:customStyle="1" w:styleId="Sakstittel2">
    <w:name w:val="Sakstittel2"/>
    <w:basedOn w:val="Overskrift2"/>
    <w:rsid w:val="00E87647"/>
  </w:style>
  <w:style w:type="character" w:styleId="Hyperkobling">
    <w:name w:val="Hyperlink"/>
    <w:basedOn w:val="Standardskriftforavsnitt"/>
    <w:rsid w:val="00F519D5"/>
    <w:rPr>
      <w:color w:val="0000FF"/>
      <w:u w:val="single"/>
    </w:rPr>
  </w:style>
  <w:style w:type="paragraph" w:customStyle="1" w:styleId="InnkallingsskriftFyllInn">
    <w:name w:val="InnkallingsskriftFyllInn"/>
    <w:basedOn w:val="Normal"/>
    <w:autoRedefine/>
    <w:rsid w:val="00FF23F0"/>
    <w:pPr>
      <w:pBdr>
        <w:top w:val="dotted" w:sz="4" w:space="1" w:color="808080"/>
      </w:pBdr>
      <w:tabs>
        <w:tab w:val="left" w:pos="2483"/>
      </w:tabs>
      <w:spacing w:before="113" w:after="80"/>
      <w:ind w:left="108" w:right="-96"/>
    </w:pPr>
    <w:rPr>
      <w:rFonts w:ascii="Arial" w:hAnsi="Arial"/>
      <w:sz w:val="16"/>
      <w:szCs w:val="16"/>
      <w:lang w:eastAsia="en-US"/>
    </w:rPr>
  </w:style>
  <w:style w:type="paragraph" w:customStyle="1" w:styleId="SiderMellom">
    <w:name w:val="SiderMellom"/>
    <w:basedOn w:val="Normal"/>
    <w:autoRedefine/>
    <w:rsid w:val="00FF23F0"/>
    <w:pPr>
      <w:tabs>
        <w:tab w:val="left" w:pos="2646"/>
        <w:tab w:val="left" w:pos="3969"/>
        <w:tab w:val="right" w:pos="9639"/>
      </w:tabs>
      <w:spacing w:before="40" w:after="113"/>
      <w:ind w:left="180" w:right="-96"/>
    </w:pPr>
    <w:rPr>
      <w:b/>
      <w:sz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vdata.no/dokument/SF/forskrift/1988-05-15-356?q=motorkj%C3%B8ret%C3%B8yer" TargetMode="External"/><Relationship Id="rId13" Type="http://schemas.openxmlformats.org/officeDocument/2006/relationships/hyperlink" Target="http://www.miljokommune.no/Temaoversikt/Motorferdsel/Motorferdsel/Fastsette-snoskuterloyper/"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iljokommune.no/Temaoversikt/Motorferdsel/Motorferdsel/Fastsette-snoskuterloyper/" TargetMode="External"/><Relationship Id="rId12" Type="http://schemas.openxmlformats.org/officeDocument/2006/relationships/hyperlink" Target="http://miljodirektoratet.no/no/Publikasjoner/2014/Februar-2014/Veileder-til-retningslinje-for-behandling-av-stoy-i-arealplanlegging-T-14422012/"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iljodirektoratet.no/no/Publikasjoner/2014/Februar-2014/Veileder-til-retningslinje-for-behandling-av-stoy-i-arealplanlegging-T-14422012/" TargetMode="External"/><Relationship Id="rId5" Type="http://schemas.openxmlformats.org/officeDocument/2006/relationships/footnotes" Target="footnotes.xml"/><Relationship Id="rId15" Type="http://schemas.openxmlformats.org/officeDocument/2006/relationships/hyperlink" Target="http://docplayer.me/30577091-Stoyrapport-tillegg-snoskuterloyper-i-engerdal.html"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ljokommune.no/Temaoversikt/Motorferdsel/Motorferdsel/Fastsette-snoskuterloyper/" TargetMode="External"/><Relationship Id="rId14" Type="http://schemas.openxmlformats.org/officeDocument/2006/relationships/hyperlink" Target="http://docplayer.me/14040145-Snoskuterkjoring-pa-islagte-vann.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994</Words>
  <Characters>5274</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Ergo Group</vt:lpstr>
    </vt:vector>
  </TitlesOfParts>
  <Company>Gecko AS</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Ergo Group</dc:title>
  <dc:creator>Thor Kvatningen</dc:creator>
  <cp:lastModifiedBy>Frode Tjønn</cp:lastModifiedBy>
  <cp:revision>7</cp:revision>
  <dcterms:created xsi:type="dcterms:W3CDTF">2016-11-25T08:46:00Z</dcterms:created>
  <dcterms:modified xsi:type="dcterms:W3CDTF">2017-06-19T09:23:00Z</dcterms:modified>
</cp:coreProperties>
</file>