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9E7702">
        <w:trPr>
          <w:trHeight w:hRule="exact" w:val="1537"/>
        </w:trPr>
        <w:tc>
          <w:tcPr>
            <w:tcW w:w="5374" w:type="dxa"/>
          </w:tcPr>
          <w:bookmarkStart w:id="0" w:name="MottakerNavn"/>
          <w:bookmarkStart w:id="1" w:name="_GoBack"/>
          <w:bookmarkEnd w:id="1"/>
          <w:p w:rsidR="00173FF3" w:rsidRDefault="00B745BC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t>«MottakerNavn»</w:t>
            </w:r>
            <w:r>
              <w:fldChar w:fldCharType="end"/>
            </w:r>
            <w:bookmarkEnd w:id="0"/>
          </w:p>
          <w:bookmarkStart w:id="2" w:name="Adresse"/>
          <w:p w:rsidR="00173FF3" w:rsidRDefault="00B745BC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t>«Adresse»</w:t>
            </w:r>
            <w:r>
              <w:fldChar w:fldCharType="end"/>
            </w:r>
            <w:bookmarkEnd w:id="2"/>
          </w:p>
          <w:bookmarkStart w:id="3" w:name="Postnr"/>
          <w:p w:rsidR="003A23AB" w:rsidRDefault="00B745BC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t>«Postnr»</w:t>
            </w:r>
            <w:r>
              <w:fldChar w:fldCharType="end"/>
            </w:r>
            <w:bookmarkEnd w:id="3"/>
            <w:r>
              <w:t xml:space="preserve">  </w:t>
            </w:r>
            <w:bookmarkStart w:id="4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t>«Poststed»</w:t>
            </w:r>
            <w:r>
              <w:fldChar w:fldCharType="end"/>
            </w:r>
            <w:bookmarkEnd w:id="4"/>
          </w:p>
          <w:p w:rsidR="00173FF3" w:rsidRDefault="006213C1" w:rsidP="00D13C46"/>
          <w:bookmarkStart w:id="5" w:name="Kontakt"/>
          <w:p w:rsidR="003A23AB" w:rsidRDefault="00B745BC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t>«Kontakt»</w:t>
            </w:r>
            <w:r>
              <w:fldChar w:fldCharType="end"/>
            </w:r>
            <w:bookmarkEnd w:id="5"/>
          </w:p>
        </w:tc>
        <w:tc>
          <w:tcPr>
            <w:tcW w:w="4034" w:type="dxa"/>
          </w:tcPr>
          <w:p w:rsidR="00D44A28" w:rsidRPr="00D44A28" w:rsidRDefault="006213C1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6213C1" w:rsidP="00231A4D"/>
    <w:p w:rsidR="009561A9" w:rsidRDefault="006213C1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9E7702">
        <w:trPr>
          <w:trHeight w:hRule="exact" w:val="198"/>
        </w:trPr>
        <w:tc>
          <w:tcPr>
            <w:tcW w:w="1800" w:type="dxa"/>
          </w:tcPr>
          <w:p w:rsidR="008E655A" w:rsidRPr="008E655A" w:rsidRDefault="00B745BC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B745BC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B745BC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B745BC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bookmarkStart w:id="7" w:name="Ref"/>
      <w:tr w:rsidR="009E7702">
        <w:trPr>
          <w:trHeight w:val="343"/>
        </w:trPr>
        <w:tc>
          <w:tcPr>
            <w:tcW w:w="1800" w:type="dxa"/>
          </w:tcPr>
          <w:p w:rsidR="008E655A" w:rsidRPr="008E655A" w:rsidRDefault="00B745BC" w:rsidP="002C17F5">
            <w:pPr>
              <w:pStyle w:val="Topptekst"/>
              <w:rPr>
                <w:sz w:val="18"/>
                <w:szCs w:val="18"/>
              </w:rPr>
            </w:pPr>
            <w:r w:rsidRPr="008E655A">
              <w:rPr>
                <w:sz w:val="18"/>
                <w:szCs w:val="18"/>
              </w:rPr>
              <w:fldChar w:fldCharType="begin"/>
            </w:r>
            <w:r w:rsidRPr="008E655A">
              <w:rPr>
                <w:sz w:val="18"/>
                <w:szCs w:val="18"/>
              </w:rPr>
              <w:instrText xml:space="preserve"> MERGEFIELD Ref\* MERGEFORMAT </w:instrText>
            </w:r>
            <w:r w:rsidRPr="008E655A">
              <w:rPr>
                <w:sz w:val="18"/>
                <w:szCs w:val="18"/>
              </w:rPr>
              <w:fldChar w:fldCharType="separate"/>
            </w:r>
            <w:r w:rsidRPr="008E655A">
              <w:rPr>
                <w:sz w:val="18"/>
                <w:szCs w:val="18"/>
              </w:rPr>
              <w:t>«Ref»</w:t>
            </w:r>
            <w:r w:rsidRPr="008E65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B745BC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2017/3448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B745BC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Frode Tjønn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75682027</w:t>
            </w:r>
            <w:bookmarkEnd w:id="10"/>
          </w:p>
        </w:tc>
        <w:tc>
          <w:tcPr>
            <w:tcW w:w="1847" w:type="dxa"/>
          </w:tcPr>
          <w:p w:rsidR="008E655A" w:rsidRPr="008E655A" w:rsidRDefault="00B745BC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17.04.2018</w:t>
            </w:r>
            <w:bookmarkEnd w:id="11"/>
          </w:p>
        </w:tc>
      </w:tr>
    </w:tbl>
    <w:p w:rsidR="00E331C9" w:rsidRDefault="006213C1" w:rsidP="00231A4D"/>
    <w:p w:rsidR="00231A4D" w:rsidRPr="00296166" w:rsidRDefault="00B745BC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Egengodkjenning Detaljreguleringsplan for lagerområde Nerauran</w:t>
      </w:r>
      <w:bookmarkEnd w:id="12"/>
    </w:p>
    <w:p w:rsidR="001C7386" w:rsidRDefault="00B745BC" w:rsidP="00D13C46">
      <w:bookmarkStart w:id="13" w:name="Start"/>
      <w:bookmarkEnd w:id="13"/>
      <w:r>
        <w:t xml:space="preserve">Saltdal kommunestyre vedtok 14.03.2018. detaljreguleringsplan for Nerauran lagerområde. På grunn av omlegging til ny kartpresentasjon ligger planen på kommunens kartside som planer under høring.  </w:t>
      </w:r>
      <w:r w:rsidR="002A4469">
        <w:t xml:space="preserve">Planene er også tilgjengelig på kommunens nettportal: </w:t>
      </w:r>
    </w:p>
    <w:p w:rsidR="00D113E5" w:rsidRDefault="006213C1" w:rsidP="00D13C46"/>
    <w:p w:rsidR="00D717E4" w:rsidRDefault="006213C1" w:rsidP="00D13C46">
      <w:hyperlink r:id="rId7" w:history="1">
        <w:r w:rsidR="002A4469" w:rsidRPr="00CB2CC4">
          <w:rPr>
            <w:rStyle w:val="Hyperkobling"/>
          </w:rPr>
          <w:t>http://www.saltdal.kommune.no/melding-om-planvedtak-og-fastsatt-planprogram.426149.no.html</w:t>
        </w:r>
      </w:hyperlink>
    </w:p>
    <w:p w:rsidR="002A4469" w:rsidRDefault="002A4469" w:rsidP="00D13C46"/>
    <w:p w:rsidR="002A4469" w:rsidRDefault="002A4469" w:rsidP="00D13C46">
      <w:r>
        <w:t xml:space="preserve">På grunn av ombygging av nettportal kan det hende at denne planen ikke vil være tilgjengelig for publikum. Dette gjelder kommunens hjemmeside og kartside. </w:t>
      </w:r>
    </w:p>
    <w:p w:rsidR="00D717E4" w:rsidRDefault="006213C1" w:rsidP="00D13C46"/>
    <w:p w:rsidR="002A4469" w:rsidRDefault="002A4469" w:rsidP="00D13C46">
      <w:r>
        <w:t>Frist for klage i saken er satt til 3 uker.</w:t>
      </w:r>
    </w:p>
    <w:p w:rsidR="00D717E4" w:rsidRDefault="006213C1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  <w:gridCol w:w="4677"/>
      </w:tblGrid>
      <w:tr w:rsidR="009E7702">
        <w:tc>
          <w:tcPr>
            <w:tcW w:w="4761" w:type="dxa"/>
          </w:tcPr>
          <w:p w:rsidR="002805D8" w:rsidRDefault="00B745BC" w:rsidP="002805D8">
            <w:r>
              <w:t>Med vennlig hilsen</w:t>
            </w:r>
          </w:p>
          <w:p w:rsidR="002805D8" w:rsidRDefault="006213C1" w:rsidP="002805D8"/>
          <w:p w:rsidR="002805D8" w:rsidRDefault="006213C1" w:rsidP="002805D8"/>
          <w:p w:rsidR="002805D8" w:rsidRDefault="006213C1" w:rsidP="00D13C46"/>
          <w:p w:rsidR="002805D8" w:rsidRDefault="00B745BC" w:rsidP="00D13C46">
            <w:bookmarkStart w:id="14" w:name="SaksbehandlerNavn2"/>
            <w:r>
              <w:t>Frode Tjønn</w:t>
            </w:r>
            <w:bookmarkEnd w:id="14"/>
          </w:p>
          <w:p w:rsidR="002805D8" w:rsidRDefault="00B745BC" w:rsidP="00D13C46">
            <w:bookmarkStart w:id="15" w:name="SaksbehandlerStilling"/>
            <w:r>
              <w:t>Arealplanlegger</w:t>
            </w:r>
            <w:bookmarkEnd w:id="15"/>
          </w:p>
        </w:tc>
        <w:tc>
          <w:tcPr>
            <w:tcW w:w="4761" w:type="dxa"/>
          </w:tcPr>
          <w:p w:rsidR="002805D8" w:rsidRDefault="006213C1" w:rsidP="00D13C46"/>
          <w:p w:rsidR="002805D8" w:rsidRDefault="006213C1" w:rsidP="00D13C46"/>
          <w:p w:rsidR="002805D8" w:rsidRDefault="006213C1" w:rsidP="00D13C46"/>
          <w:p w:rsidR="002805D8" w:rsidRDefault="006213C1" w:rsidP="00D13C46"/>
          <w:p w:rsidR="002805D8" w:rsidRDefault="006213C1" w:rsidP="00D13C46"/>
          <w:p w:rsidR="002805D8" w:rsidRDefault="006213C1" w:rsidP="00D13C46"/>
        </w:tc>
      </w:tr>
      <w:tr w:rsidR="009E7702">
        <w:tc>
          <w:tcPr>
            <w:tcW w:w="4761" w:type="dxa"/>
          </w:tcPr>
          <w:p w:rsidR="002805D8" w:rsidRDefault="006213C1" w:rsidP="00D13C46"/>
        </w:tc>
        <w:tc>
          <w:tcPr>
            <w:tcW w:w="4761" w:type="dxa"/>
          </w:tcPr>
          <w:p w:rsidR="002805D8" w:rsidRDefault="006213C1" w:rsidP="00D13C46"/>
        </w:tc>
      </w:tr>
    </w:tbl>
    <w:p w:rsidR="00D13C46" w:rsidRDefault="006213C1" w:rsidP="00D13C46"/>
    <w:p w:rsidR="00D13C46" w:rsidRDefault="006213C1" w:rsidP="00D13C46"/>
    <w:p w:rsidR="00D13C46" w:rsidRDefault="00B745BC" w:rsidP="00D13C46">
      <w: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9046"/>
      </w:tblGrid>
      <w:tr w:rsidR="009E7702">
        <w:tc>
          <w:tcPr>
            <w:tcW w:w="0" w:type="auto"/>
          </w:tcPr>
          <w:p w:rsidR="00D13C46" w:rsidRDefault="00B745BC" w:rsidP="00D13C46">
            <w:bookmarkStart w:id="16" w:name="Vedlegg"/>
            <w:bookmarkEnd w:id="16"/>
            <w:r>
              <w:t>1</w:t>
            </w:r>
          </w:p>
        </w:tc>
        <w:tc>
          <w:tcPr>
            <w:tcW w:w="0" w:type="auto"/>
          </w:tcPr>
          <w:p w:rsidR="00D13C46" w:rsidRDefault="00B745BC" w:rsidP="00D13C46">
            <w:r>
              <w:t>Særutskrift Sluttbehandling Detaljreguleringsplan for Nerauran lagerområde, plan ID 2016007</w:t>
            </w:r>
          </w:p>
        </w:tc>
      </w:tr>
      <w:tr w:rsidR="009E7702">
        <w:tc>
          <w:tcPr>
            <w:tcW w:w="0" w:type="auto"/>
          </w:tcPr>
          <w:p w:rsidR="00D13C46" w:rsidRDefault="00B745BC" w:rsidP="00D13C46">
            <w:r>
              <w:t>2</w:t>
            </w:r>
          </w:p>
        </w:tc>
        <w:tc>
          <w:tcPr>
            <w:tcW w:w="0" w:type="auto"/>
          </w:tcPr>
          <w:p w:rsidR="00D13C46" w:rsidRDefault="00B745BC" w:rsidP="00D13C46">
            <w:r>
              <w:t>Planbeskrivelse</w:t>
            </w:r>
          </w:p>
        </w:tc>
      </w:tr>
      <w:tr w:rsidR="009E7702">
        <w:tc>
          <w:tcPr>
            <w:tcW w:w="0" w:type="auto"/>
          </w:tcPr>
          <w:p w:rsidR="00D13C46" w:rsidRDefault="00B745BC" w:rsidP="00D13C46">
            <w:r>
              <w:t>3</w:t>
            </w:r>
          </w:p>
        </w:tc>
        <w:tc>
          <w:tcPr>
            <w:tcW w:w="0" w:type="auto"/>
          </w:tcPr>
          <w:p w:rsidR="00D13C46" w:rsidRDefault="00B745BC" w:rsidP="00D13C46">
            <w:r>
              <w:t>Vedlegg 1 - Reguleringsplankart</w:t>
            </w:r>
          </w:p>
        </w:tc>
      </w:tr>
      <w:tr w:rsidR="009E7702">
        <w:tc>
          <w:tcPr>
            <w:tcW w:w="0" w:type="auto"/>
          </w:tcPr>
          <w:p w:rsidR="00D13C46" w:rsidRDefault="00B745BC" w:rsidP="00D13C46">
            <w:r>
              <w:t>4</w:t>
            </w:r>
          </w:p>
        </w:tc>
        <w:tc>
          <w:tcPr>
            <w:tcW w:w="0" w:type="auto"/>
          </w:tcPr>
          <w:p w:rsidR="00D13C46" w:rsidRDefault="00B745BC" w:rsidP="00D13C46">
            <w:r>
              <w:t>Planbestemmelser Nerauran PlanID (00000004)</w:t>
            </w:r>
          </w:p>
        </w:tc>
      </w:tr>
    </w:tbl>
    <w:p w:rsidR="00D13C46" w:rsidRDefault="006213C1" w:rsidP="00D13C46"/>
    <w:p w:rsidR="00D13C46" w:rsidRDefault="006213C1" w:rsidP="00D13C46"/>
    <w:p w:rsidR="00D13C46" w:rsidRDefault="006213C1" w:rsidP="00D13C46">
      <w:bookmarkStart w:id="17" w:name="KopiTilTabell"/>
      <w:bookmarkEnd w:id="17"/>
    </w:p>
    <w:p w:rsidR="00EC05FF" w:rsidRDefault="006213C1" w:rsidP="00D13C46"/>
    <w:p w:rsidR="00EC05FF" w:rsidRDefault="006213C1" w:rsidP="00EC05FF">
      <w:pPr>
        <w:rPr>
          <w:i/>
        </w:rPr>
      </w:pPr>
    </w:p>
    <w:p w:rsidR="00EC05FF" w:rsidRDefault="006213C1" w:rsidP="006C4EB9">
      <w:pPr>
        <w:jc w:val="center"/>
        <w:rPr>
          <w:i/>
        </w:rPr>
      </w:pPr>
    </w:p>
    <w:p w:rsidR="002C0D3C" w:rsidRPr="006C4EB9" w:rsidRDefault="00B745BC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BC" w:rsidRDefault="00B745BC">
      <w:r>
        <w:separator/>
      </w:r>
    </w:p>
  </w:endnote>
  <w:endnote w:type="continuationSeparator" w:id="0">
    <w:p w:rsidR="00B745BC" w:rsidRDefault="00B7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6213C1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B745B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6213C1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6213C1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9E7702">
      <w:tc>
        <w:tcPr>
          <w:tcW w:w="3348" w:type="dxa"/>
          <w:tcBorders>
            <w:top w:val="single" w:sz="4" w:space="0" w:color="auto"/>
          </w:tcBorders>
        </w:tcPr>
        <w:p w:rsidR="007A133C" w:rsidRDefault="00B745B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B745B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B745B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6213C1">
          <w:pPr>
            <w:rPr>
              <w:b/>
              <w:sz w:val="18"/>
              <w:szCs w:val="18"/>
            </w:rPr>
          </w:pPr>
        </w:p>
      </w:tc>
    </w:tr>
    <w:tr w:rsidR="009E7702">
      <w:tc>
        <w:tcPr>
          <w:tcW w:w="3348" w:type="dxa"/>
        </w:tcPr>
        <w:p w:rsidR="007A133C" w:rsidRDefault="00B745B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6213C1">
          <w:pPr>
            <w:rPr>
              <w:sz w:val="18"/>
              <w:szCs w:val="18"/>
            </w:rPr>
          </w:pPr>
          <w:bookmarkStart w:id="19" w:name="ADMBESØKSADRESSE"/>
          <w:bookmarkEnd w:id="19"/>
        </w:p>
      </w:tc>
      <w:tc>
        <w:tcPr>
          <w:tcW w:w="1440" w:type="dxa"/>
        </w:tcPr>
        <w:p w:rsidR="007A133C" w:rsidRDefault="00B745B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6213C1">
          <w:pPr>
            <w:rPr>
              <w:sz w:val="18"/>
              <w:szCs w:val="18"/>
            </w:rPr>
          </w:pPr>
        </w:p>
      </w:tc>
    </w:tr>
    <w:tr w:rsidR="009E7702">
      <w:tc>
        <w:tcPr>
          <w:tcW w:w="3348" w:type="dxa"/>
        </w:tcPr>
        <w:p w:rsidR="007A133C" w:rsidRDefault="006213C1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6213C1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B745B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B745B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9E7702">
      <w:tc>
        <w:tcPr>
          <w:tcW w:w="3348" w:type="dxa"/>
        </w:tcPr>
        <w:p w:rsidR="007A133C" w:rsidRDefault="00B745BC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B745BC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B745BC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B745B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6213C1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BC" w:rsidRDefault="00B745BC">
      <w:r>
        <w:separator/>
      </w:r>
    </w:p>
  </w:footnote>
  <w:footnote w:type="continuationSeparator" w:id="0">
    <w:p w:rsidR="00B745BC" w:rsidRDefault="00B7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6213C1" w:rsidP="00D13C46"/>
  <w:p w:rsidR="006D04E8" w:rsidRDefault="006213C1" w:rsidP="00D13C46"/>
  <w:p w:rsidR="006D04E8" w:rsidRDefault="006213C1" w:rsidP="00D13C46"/>
  <w:p w:rsidR="006D04E8" w:rsidRDefault="006213C1" w:rsidP="00D13C46"/>
  <w:p w:rsidR="006D04E8" w:rsidRDefault="006213C1" w:rsidP="00D13C46"/>
  <w:p w:rsidR="006D04E8" w:rsidRDefault="006213C1" w:rsidP="00D13C46"/>
  <w:p w:rsidR="006D04E8" w:rsidRDefault="006213C1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9E7702">
      <w:trPr>
        <w:trHeight w:hRule="exact" w:val="1438"/>
      </w:trPr>
      <w:tc>
        <w:tcPr>
          <w:tcW w:w="1321" w:type="dxa"/>
        </w:tcPr>
        <w:p w:rsidR="006D04E8" w:rsidRPr="00C24AC5" w:rsidRDefault="00B745BC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B745BC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B745BC" w:rsidP="00BB3A6C">
          <w:pPr>
            <w:spacing w:before="80"/>
            <w:rPr>
              <w:b/>
              <w:sz w:val="28"/>
              <w:szCs w:val="28"/>
            </w:rPr>
          </w:pPr>
          <w:bookmarkStart w:id="18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18"/>
        </w:p>
      </w:tc>
    </w:tr>
  </w:tbl>
  <w:p w:rsidR="006D04E8" w:rsidRDefault="006213C1">
    <w:pPr>
      <w:pStyle w:val="Topptekst"/>
    </w:pPr>
  </w:p>
  <w:p w:rsidR="006D04E8" w:rsidRDefault="006213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34B6B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28C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8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EF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4B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E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CB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6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457891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16B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98A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4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60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4F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83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0A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87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8E6AE62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FD22C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AA7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2F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0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0F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A8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46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68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02"/>
    <w:rsid w:val="002A4469"/>
    <w:rsid w:val="006213C1"/>
    <w:rsid w:val="009E7702"/>
    <w:rsid w:val="00B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8AA75-0775-4CC4-947A-1018274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tdal.kommune.no/melding-om-planvedtak-og-fastsatt-planprogram.426149.n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cetorg1\AppData\Local\Temp\T_2\Brev%20felles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fellesmal</Template>
  <TotalTime>0</TotalTime>
  <Pages>1</Pages>
  <Words>128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Rigmor Larsen</dc:creator>
  <cp:lastModifiedBy>Frode Tjønn</cp:lastModifiedBy>
  <cp:revision>2</cp:revision>
  <cp:lastPrinted>2006-08-29T08:43:00Z</cp:lastPrinted>
  <dcterms:created xsi:type="dcterms:W3CDTF">2018-04-19T13:13:00Z</dcterms:created>
  <dcterms:modified xsi:type="dcterms:W3CDTF">2018-04-19T13:13:00Z</dcterms:modified>
</cp:coreProperties>
</file>